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DB3C" w14:textId="21110597" w:rsidR="007F1D0C" w:rsidRPr="00CE1D35" w:rsidRDefault="007F1D0C" w:rsidP="007F1D0C">
      <w:pPr>
        <w:pStyle w:val="Title"/>
      </w:pPr>
      <w:r w:rsidRPr="00CE1D35">
        <w:t xml:space="preserve">UKFS: </w:t>
      </w:r>
      <w:r w:rsidR="00A32F11" w:rsidRPr="00CE1D35">
        <w:t>a call to strengthen</w:t>
      </w:r>
      <w:r w:rsidRPr="00CE1D35">
        <w:t xml:space="preserve"> the ‘People’ theme</w:t>
      </w:r>
    </w:p>
    <w:p w14:paraId="7D046DFA" w14:textId="77777777" w:rsidR="007F1D0C" w:rsidRPr="00CE1D35" w:rsidRDefault="007F1D0C" w:rsidP="007F1D0C"/>
    <w:p w14:paraId="17B68DF1" w14:textId="221FA686" w:rsidR="00321A5D" w:rsidRPr="00CE1D35" w:rsidRDefault="00157DDB" w:rsidP="007F1D0C">
      <w:r>
        <w:t xml:space="preserve">This call to strengthen the People theme of the UK Forestry Standard has been developed via a series of workshops and conversations between a range of organisations </w:t>
      </w:r>
      <w:r w:rsidR="00EC4E62">
        <w:t xml:space="preserve">and individuals </w:t>
      </w:r>
      <w:r>
        <w:t>with environmental and social interests in forestry in Scotland.</w:t>
      </w:r>
      <w:r w:rsidR="001A3F7D">
        <w:t xml:space="preserve">  The </w:t>
      </w:r>
      <w:r w:rsidR="00EC4E62">
        <w:t xml:space="preserve">signatories to this document who </w:t>
      </w:r>
      <w:r w:rsidR="001A3F7D">
        <w:t xml:space="preserve">support this call are listed in section 9 below.  </w:t>
      </w:r>
    </w:p>
    <w:p w14:paraId="269543E7" w14:textId="42DDBBB2" w:rsidR="00514F29" w:rsidRPr="00CE1D35" w:rsidRDefault="00514F29" w:rsidP="00514F29">
      <w:pPr>
        <w:pStyle w:val="Heading1"/>
      </w:pPr>
      <w:r w:rsidRPr="00CE1D35">
        <w:t>Purpose of this paper</w:t>
      </w:r>
    </w:p>
    <w:p w14:paraId="33AA0978" w14:textId="77777777" w:rsidR="00E644A0" w:rsidRPr="00CE1D35" w:rsidRDefault="001B191C" w:rsidP="001B191C">
      <w:r w:rsidRPr="00CE1D35">
        <w:t xml:space="preserve">We have collectively written this paper because we want the UKFS to provide a </w:t>
      </w:r>
      <w:r w:rsidRPr="00CE1D35">
        <w:rPr>
          <w:i/>
          <w:iCs/>
        </w:rPr>
        <w:t>stronger basis</w:t>
      </w:r>
      <w:r w:rsidRPr="00CE1D35">
        <w:t xml:space="preserve"> for </w:t>
      </w:r>
      <w:r w:rsidRPr="00CE1D35">
        <w:rPr>
          <w:i/>
          <w:iCs/>
        </w:rPr>
        <w:t>clearer</w:t>
      </w:r>
      <w:r w:rsidRPr="00CE1D35">
        <w:t xml:space="preserve"> public and community engagement than it presently does. We agree with industry stakeholders that we don’t want to make this process more onerous, and that it should be simple, efficient, and guard against any unreasonable blocks on forestry. </w:t>
      </w:r>
    </w:p>
    <w:p w14:paraId="2FA5DE29" w14:textId="7CC4CB20" w:rsidR="00E644A0" w:rsidRPr="00CE1D35" w:rsidRDefault="001B191C" w:rsidP="001B191C">
      <w:r w:rsidRPr="00CE1D35">
        <w:t xml:space="preserve">To achieve that, it also needs to be </w:t>
      </w:r>
      <w:r w:rsidRPr="00CE1D35">
        <w:rPr>
          <w:i/>
          <w:iCs/>
        </w:rPr>
        <w:t>transparent</w:t>
      </w:r>
      <w:r w:rsidRPr="00CE1D35">
        <w:t xml:space="preserve">, </w:t>
      </w:r>
      <w:r w:rsidRPr="00CE1D35">
        <w:rPr>
          <w:i/>
          <w:iCs/>
        </w:rPr>
        <w:t>easy to understand</w:t>
      </w:r>
      <w:r w:rsidRPr="00CE1D35">
        <w:t xml:space="preserve">, and </w:t>
      </w:r>
      <w:r w:rsidRPr="00CE1D35">
        <w:rPr>
          <w:i/>
          <w:iCs/>
        </w:rPr>
        <w:t>meaningful</w:t>
      </w:r>
      <w:r w:rsidRPr="00CE1D35">
        <w:t xml:space="preserve">. It should be clear enough to ensure compliance and avoid waste of resources on conflict and anxiety. That is not currently the case. </w:t>
      </w:r>
    </w:p>
    <w:p w14:paraId="562CC7E3" w14:textId="571DDCA1" w:rsidR="001B191C" w:rsidRPr="00CE1D35" w:rsidRDefault="00BB4CE2" w:rsidP="001B191C">
      <w:r w:rsidRPr="00CE1D35">
        <w:t>This paper outlines the current difficulties, and proposes simple changes that would enhance the credibility, sustainability and functionality of the next UKFS.</w:t>
      </w:r>
    </w:p>
    <w:p w14:paraId="4C353ACB" w14:textId="3C54B5C0" w:rsidR="00764464" w:rsidRPr="00CE1D35" w:rsidRDefault="00CA12A8" w:rsidP="007F1D0C">
      <w:pPr>
        <w:pStyle w:val="Heading1"/>
      </w:pPr>
      <w:bookmarkStart w:id="0" w:name="_Toc93249672"/>
      <w:r w:rsidRPr="00CE1D35">
        <w:t>Key messages</w:t>
      </w:r>
    </w:p>
    <w:p w14:paraId="2F1FD0C9" w14:textId="77777777" w:rsidR="00256301" w:rsidRDefault="00256301" w:rsidP="00256301">
      <w:pPr>
        <w:spacing w:after="0" w:line="240" w:lineRule="auto"/>
        <w:ind w:left="360" w:hanging="360"/>
        <w:rPr>
          <w:b/>
          <w:bCs/>
        </w:rPr>
      </w:pPr>
    </w:p>
    <w:p w14:paraId="6F09FA00" w14:textId="64D4B997" w:rsidR="00256301" w:rsidRPr="00BF4536" w:rsidRDefault="00256301" w:rsidP="00BF4536">
      <w:pPr>
        <w:pStyle w:val="ListParagraph"/>
        <w:numPr>
          <w:ilvl w:val="0"/>
          <w:numId w:val="40"/>
        </w:numPr>
        <w:spacing w:after="0" w:line="240" w:lineRule="auto"/>
        <w:rPr>
          <w:b/>
          <w:bCs/>
          <w:color w:val="4472C4" w:themeColor="accent1"/>
        </w:rPr>
      </w:pPr>
      <w:r w:rsidRPr="00BF4536">
        <w:rPr>
          <w:b/>
          <w:bCs/>
          <w:color w:val="4472C4" w:themeColor="accent1"/>
        </w:rPr>
        <w:t>Changing context</w:t>
      </w:r>
      <w:r w:rsidR="00D7655B" w:rsidRPr="00BF4536">
        <w:rPr>
          <w:b/>
          <w:bCs/>
          <w:color w:val="4472C4" w:themeColor="accent1"/>
        </w:rPr>
        <w:t xml:space="preserve">. </w:t>
      </w:r>
      <w:r w:rsidRPr="00CE1D35">
        <w:t>The forestry and land use context has changed</w:t>
      </w:r>
      <w:r>
        <w:t xml:space="preserve">, leading to </w:t>
      </w:r>
      <w:r w:rsidRPr="00CE1D35">
        <w:rPr>
          <w:lang w:eastAsia="en-GB"/>
        </w:rPr>
        <w:t xml:space="preserve">significant tensions around the distribution of benefits from land ownership and land use change. </w:t>
      </w:r>
      <w:r>
        <w:t xml:space="preserve">The revised UKFS needs to address and reduce these tensions. </w:t>
      </w:r>
    </w:p>
    <w:p w14:paraId="6CC8CE01" w14:textId="77777777" w:rsidR="00256301" w:rsidRDefault="00256301" w:rsidP="00256301">
      <w:pPr>
        <w:pStyle w:val="ListParagraph"/>
        <w:spacing w:after="0" w:line="240" w:lineRule="auto"/>
        <w:ind w:left="360"/>
        <w:rPr>
          <w:lang w:eastAsia="en-GB"/>
        </w:rPr>
      </w:pPr>
    </w:p>
    <w:p w14:paraId="6E93EDE1" w14:textId="77777777" w:rsidR="00256301" w:rsidRDefault="00256301" w:rsidP="00256301">
      <w:pPr>
        <w:pStyle w:val="ListParagraph"/>
        <w:numPr>
          <w:ilvl w:val="1"/>
          <w:numId w:val="40"/>
        </w:numPr>
        <w:spacing w:after="0" w:line="240" w:lineRule="auto"/>
        <w:rPr>
          <w:lang w:eastAsia="en-GB"/>
        </w:rPr>
      </w:pPr>
      <w:r>
        <w:t xml:space="preserve">The majority of tensions are around new commercial planting. The revised UKFS must give more explicit attention to standards for new planting. </w:t>
      </w:r>
    </w:p>
    <w:p w14:paraId="3C19B1C5" w14:textId="77777777" w:rsidR="00256301" w:rsidRDefault="00256301" w:rsidP="00256301">
      <w:pPr>
        <w:pStyle w:val="ListParagraph"/>
        <w:numPr>
          <w:ilvl w:val="1"/>
          <w:numId w:val="40"/>
        </w:numPr>
        <w:spacing w:after="0" w:line="240" w:lineRule="auto"/>
        <w:rPr>
          <w:lang w:eastAsia="en-GB"/>
        </w:rPr>
      </w:pPr>
      <w:r w:rsidRPr="00CE1D35">
        <w:t xml:space="preserve">The UKFS must </w:t>
      </w:r>
      <w:r>
        <w:t>require</w:t>
      </w:r>
      <w:r w:rsidRPr="00CE1D35">
        <w:t xml:space="preserve"> forest management and new planting to acknowledge and </w:t>
      </w:r>
      <w:r>
        <w:t>ameliorate</w:t>
      </w:r>
      <w:r w:rsidRPr="00CE1D35">
        <w:t xml:space="preserve"> </w:t>
      </w:r>
      <w:r>
        <w:t>cumulative impact of multiple forestry schemes</w:t>
      </w:r>
      <w:r w:rsidRPr="00CE1D35">
        <w:t xml:space="preserve">. </w:t>
      </w:r>
    </w:p>
    <w:p w14:paraId="42D1ADD9" w14:textId="77777777" w:rsidR="00256301" w:rsidRPr="00BE4A0B" w:rsidRDefault="00256301" w:rsidP="00256301">
      <w:pPr>
        <w:spacing w:after="0" w:line="240" w:lineRule="auto"/>
        <w:rPr>
          <w:b/>
          <w:bCs/>
          <w:lang w:eastAsia="en-GB"/>
        </w:rPr>
      </w:pPr>
    </w:p>
    <w:p w14:paraId="0107313B" w14:textId="258C2B38" w:rsidR="00256301" w:rsidRPr="00BF4536" w:rsidRDefault="00BF4536" w:rsidP="00256301">
      <w:pPr>
        <w:pStyle w:val="ListParagraph"/>
        <w:numPr>
          <w:ilvl w:val="0"/>
          <w:numId w:val="40"/>
        </w:numPr>
        <w:spacing w:after="0" w:line="240" w:lineRule="auto"/>
        <w:rPr>
          <w:color w:val="4472C4" w:themeColor="accent1"/>
          <w:lang w:eastAsia="en-GB"/>
        </w:rPr>
      </w:pPr>
      <w:r w:rsidRPr="00256301">
        <w:rPr>
          <w:b/>
          <w:bCs/>
          <w:color w:val="4472C4" w:themeColor="accent1"/>
          <w:lang w:eastAsia="en-GB"/>
        </w:rPr>
        <w:t>Engagement</w:t>
      </w:r>
      <w:r>
        <w:rPr>
          <w:b/>
          <w:bCs/>
          <w:color w:val="4472C4" w:themeColor="accent1"/>
          <w:lang w:eastAsia="en-GB"/>
        </w:rPr>
        <w:t xml:space="preserve"> </w:t>
      </w:r>
      <w:r w:rsidRPr="00256301">
        <w:rPr>
          <w:b/>
          <w:bCs/>
          <w:color w:val="4472C4" w:themeColor="accent1"/>
          <w:lang w:eastAsia="en-GB"/>
        </w:rPr>
        <w:t xml:space="preserve">and consultation </w:t>
      </w:r>
      <w:r w:rsidR="00256301">
        <w:t>T</w:t>
      </w:r>
      <w:r w:rsidR="00256301" w:rsidRPr="00CE1D35">
        <w:t xml:space="preserve">he UKFS </w:t>
      </w:r>
      <w:r w:rsidR="00256301">
        <w:t>must</w:t>
      </w:r>
      <w:r w:rsidR="00256301" w:rsidRPr="00CE1D35">
        <w:t xml:space="preserve"> </w:t>
      </w:r>
      <w:r w:rsidR="00256301" w:rsidRPr="00996E86">
        <w:t>provide a stronger basis for clearer public and community engagement than it presently does. It needs to be transparent, easy to understand, and meaningful. It should be clear enough to ensure compliance and avoid waste of resources on conflict and anxiety</w:t>
      </w:r>
      <w:r w:rsidR="00256301" w:rsidRPr="00BF4536">
        <w:rPr>
          <w:color w:val="4472C4" w:themeColor="accent1"/>
        </w:rPr>
        <w:t xml:space="preserve">. </w:t>
      </w:r>
    </w:p>
    <w:p w14:paraId="0BF85E48" w14:textId="77777777" w:rsidR="00256301" w:rsidRDefault="00256301" w:rsidP="00256301">
      <w:pPr>
        <w:spacing w:after="0" w:line="240" w:lineRule="auto"/>
      </w:pPr>
    </w:p>
    <w:p w14:paraId="5245AC53" w14:textId="77777777" w:rsidR="00256301" w:rsidRDefault="00256301" w:rsidP="00D7655B">
      <w:pPr>
        <w:pStyle w:val="ListParagraph"/>
        <w:numPr>
          <w:ilvl w:val="1"/>
          <w:numId w:val="40"/>
        </w:numPr>
        <w:spacing w:after="0" w:line="240" w:lineRule="auto"/>
        <w:rPr>
          <w:lang w:eastAsia="en-GB"/>
        </w:rPr>
      </w:pPr>
      <w:r>
        <w:t xml:space="preserve">The definition of </w:t>
      </w:r>
      <w:r w:rsidRPr="00CE1D35">
        <w:t xml:space="preserve">‘People’ </w:t>
      </w:r>
      <w:r>
        <w:t xml:space="preserve">must be clarified and expanded to </w:t>
      </w:r>
      <w:r w:rsidRPr="00CE1D35">
        <w:t xml:space="preserve">include </w:t>
      </w:r>
      <w:r>
        <w:t xml:space="preserve">(and distinguish between) </w:t>
      </w:r>
      <w:r w:rsidRPr="00CE1D35">
        <w:t xml:space="preserve">communities of place, communities of interest, </w:t>
      </w:r>
      <w:r>
        <w:t xml:space="preserve">public, </w:t>
      </w:r>
      <w:r w:rsidRPr="00CE1D35">
        <w:t>stakeholders, and experts</w:t>
      </w:r>
      <w:r>
        <w:t>, and how to identify p</w:t>
      </w:r>
      <w:r w:rsidRPr="00CE1D35">
        <w:t xml:space="preserve">eople </w:t>
      </w:r>
      <w:r>
        <w:t xml:space="preserve">with </w:t>
      </w:r>
      <w:r w:rsidRPr="00CE1D35">
        <w:t>a ‘recognisable interest’</w:t>
      </w:r>
      <w:r>
        <w:t xml:space="preserve">. </w:t>
      </w:r>
    </w:p>
    <w:p w14:paraId="55F0CC06" w14:textId="77777777" w:rsidR="00256301" w:rsidRDefault="00256301" w:rsidP="00D7655B">
      <w:pPr>
        <w:pStyle w:val="ListParagraph"/>
        <w:numPr>
          <w:ilvl w:val="1"/>
          <w:numId w:val="40"/>
        </w:numPr>
        <w:spacing w:after="0" w:line="240" w:lineRule="auto"/>
        <w:rPr>
          <w:lang w:eastAsia="en-GB"/>
        </w:rPr>
      </w:pPr>
      <w:r w:rsidRPr="00CE1D35">
        <w:t xml:space="preserve">The UKFS needs to </w:t>
      </w:r>
      <w:r w:rsidRPr="002432C5">
        <w:t>make appropriate consultation a requirement</w:t>
      </w:r>
      <w:r w:rsidRPr="000757C9">
        <w:t>, with clear indicators of compliance.</w:t>
      </w:r>
    </w:p>
    <w:p w14:paraId="11CFD880" w14:textId="77777777" w:rsidR="00256301" w:rsidRDefault="00256301" w:rsidP="00D7655B">
      <w:pPr>
        <w:pStyle w:val="ListParagraph"/>
        <w:numPr>
          <w:ilvl w:val="1"/>
          <w:numId w:val="40"/>
        </w:numPr>
        <w:spacing w:after="0" w:line="240" w:lineRule="auto"/>
        <w:rPr>
          <w:lang w:eastAsia="en-GB"/>
        </w:rPr>
      </w:pPr>
      <w:r w:rsidRPr="00CE1D35">
        <w:t xml:space="preserve">Full consultation may only be required for sensitive applications. </w:t>
      </w:r>
      <w:r>
        <w:t>The UKFS</w:t>
      </w:r>
      <w:r w:rsidRPr="00CE1D35">
        <w:t xml:space="preserve"> must </w:t>
      </w:r>
      <w:r>
        <w:t>indicate how to</w:t>
      </w:r>
      <w:r w:rsidRPr="00CE1D35">
        <w:t xml:space="preserve"> identify sensitive cases in order to avoid an undue burden on the simpler and small scale cases. </w:t>
      </w:r>
      <w:r>
        <w:t xml:space="preserve">Sensitive cases are characterised by factors including: scale, proposed species composition, proximity to communities, </w:t>
      </w:r>
      <w:r w:rsidRPr="00CE1D35">
        <w:t>level of existing use, environmental designations,</w:t>
      </w:r>
      <w:r>
        <w:t xml:space="preserve"> impact on sense of place (such as landscape setting, locally meaningful places and views), cumulative impact </w:t>
      </w:r>
      <w:r w:rsidRPr="00CE1D35">
        <w:t>of multiple schemes and management plans</w:t>
      </w:r>
      <w:r>
        <w:t xml:space="preserve">. </w:t>
      </w:r>
    </w:p>
    <w:p w14:paraId="6DB16390" w14:textId="77777777" w:rsidR="00256301" w:rsidRPr="000E2673" w:rsidRDefault="00256301" w:rsidP="00D7655B">
      <w:pPr>
        <w:pStyle w:val="ListParagraph"/>
        <w:numPr>
          <w:ilvl w:val="1"/>
          <w:numId w:val="40"/>
        </w:numPr>
        <w:spacing w:after="0" w:line="240" w:lineRule="auto"/>
        <w:rPr>
          <w:lang w:eastAsia="en-GB"/>
        </w:rPr>
      </w:pPr>
      <w:r w:rsidRPr="00516003">
        <w:rPr>
          <w:rFonts w:eastAsia="Times New Roman"/>
        </w:rPr>
        <w:t>Woodland creation proposals assessed as sensitive should be required to go through a public consultation process, with:</w:t>
      </w:r>
    </w:p>
    <w:p w14:paraId="49458CF0" w14:textId="77777777" w:rsidR="00256301" w:rsidRPr="00CE1D35" w:rsidRDefault="00256301" w:rsidP="00256301">
      <w:pPr>
        <w:pStyle w:val="default-style"/>
        <w:numPr>
          <w:ilvl w:val="0"/>
          <w:numId w:val="25"/>
        </w:numPr>
        <w:spacing w:before="0" w:beforeAutospacing="0" w:after="0" w:afterAutospacing="0"/>
        <w:ind w:left="714" w:hanging="357"/>
        <w:rPr>
          <w:rFonts w:eastAsia="Times New Roman"/>
        </w:rPr>
      </w:pPr>
      <w:r w:rsidRPr="00CE1D35">
        <w:rPr>
          <w:rFonts w:eastAsia="Times New Roman"/>
        </w:rPr>
        <w:lastRenderedPageBreak/>
        <w:t>early heads-up e.g. to community councils at design stage;</w:t>
      </w:r>
    </w:p>
    <w:p w14:paraId="0C3CB652" w14:textId="77777777" w:rsidR="00256301" w:rsidRDefault="00256301" w:rsidP="00256301">
      <w:pPr>
        <w:pStyle w:val="default-style"/>
        <w:numPr>
          <w:ilvl w:val="0"/>
          <w:numId w:val="25"/>
        </w:numPr>
        <w:spacing w:before="0" w:beforeAutospacing="0" w:after="0" w:afterAutospacing="0"/>
        <w:rPr>
          <w:rFonts w:eastAsia="Times New Roman"/>
        </w:rPr>
      </w:pPr>
      <w:r w:rsidRPr="00CE1D35">
        <w:rPr>
          <w:rFonts w:eastAsia="Times New Roman"/>
        </w:rPr>
        <w:t>publication of site maps and environmental and other surveys (with appropriate redactions if sensitive species involved) on public register.</w:t>
      </w:r>
    </w:p>
    <w:p w14:paraId="102B272F" w14:textId="77777777" w:rsidR="00256301" w:rsidRPr="000E2673" w:rsidRDefault="00256301" w:rsidP="00256301">
      <w:pPr>
        <w:pStyle w:val="default-style"/>
        <w:numPr>
          <w:ilvl w:val="1"/>
          <w:numId w:val="40"/>
        </w:numPr>
        <w:spacing w:before="0" w:beforeAutospacing="0" w:after="0" w:afterAutospacing="0"/>
        <w:rPr>
          <w:rFonts w:eastAsia="Times New Roman"/>
        </w:rPr>
      </w:pPr>
      <w:r w:rsidRPr="00CE1D35">
        <w:t xml:space="preserve">For those not assessed as sensitive, consultation should still be more pro-active and include: </w:t>
      </w:r>
    </w:p>
    <w:p w14:paraId="628ADCCF" w14:textId="77777777" w:rsidR="00256301" w:rsidRPr="00CE1D35" w:rsidRDefault="00256301" w:rsidP="00256301">
      <w:pPr>
        <w:pStyle w:val="ListParagraph"/>
        <w:numPr>
          <w:ilvl w:val="0"/>
          <w:numId w:val="13"/>
        </w:numPr>
        <w:spacing w:after="0" w:line="240" w:lineRule="auto"/>
      </w:pPr>
      <w:r w:rsidRPr="00CE1D35">
        <w:t xml:space="preserve">alert neighbours, and relevant community bodies, to existence of application on register; </w:t>
      </w:r>
    </w:p>
    <w:p w14:paraId="0445EDE2" w14:textId="77777777" w:rsidR="00256301" w:rsidRPr="00CE1D35" w:rsidRDefault="00256301" w:rsidP="00256301">
      <w:pPr>
        <w:pStyle w:val="ListParagraph"/>
        <w:numPr>
          <w:ilvl w:val="0"/>
          <w:numId w:val="13"/>
        </w:numPr>
        <w:spacing w:after="0" w:line="240" w:lineRule="auto"/>
      </w:pPr>
      <w:r w:rsidRPr="00CE1D35">
        <w:t xml:space="preserve">provide maps on the register; </w:t>
      </w:r>
    </w:p>
    <w:p w14:paraId="09C3B42C" w14:textId="77777777" w:rsidR="00256301" w:rsidRPr="00CE1D35" w:rsidRDefault="00256301" w:rsidP="00256301">
      <w:pPr>
        <w:pStyle w:val="ListParagraph"/>
        <w:numPr>
          <w:ilvl w:val="0"/>
          <w:numId w:val="13"/>
        </w:numPr>
        <w:spacing w:after="0" w:line="240" w:lineRule="auto"/>
      </w:pPr>
      <w:r w:rsidRPr="00CE1D35">
        <w:t xml:space="preserve">proactively seek knowledgeable local stakeholders and invite input. </w:t>
      </w:r>
    </w:p>
    <w:p w14:paraId="12674A73" w14:textId="77777777" w:rsidR="00256301" w:rsidRPr="00BE4A0B" w:rsidRDefault="00256301" w:rsidP="00256301">
      <w:pPr>
        <w:spacing w:after="0" w:line="240" w:lineRule="auto"/>
        <w:rPr>
          <w:b/>
          <w:bCs/>
        </w:rPr>
      </w:pPr>
    </w:p>
    <w:p w14:paraId="1F9FCCC2" w14:textId="726C37CE" w:rsidR="00256301" w:rsidRPr="00BF4536" w:rsidRDefault="00BF4536" w:rsidP="00BF4536">
      <w:pPr>
        <w:pStyle w:val="ListParagraph"/>
        <w:numPr>
          <w:ilvl w:val="0"/>
          <w:numId w:val="40"/>
        </w:numPr>
        <w:spacing w:after="0" w:line="240" w:lineRule="auto"/>
        <w:rPr>
          <w:b/>
          <w:bCs/>
          <w:color w:val="4472C4" w:themeColor="accent1"/>
        </w:rPr>
      </w:pPr>
      <w:r w:rsidRPr="00BF4536">
        <w:rPr>
          <w:b/>
          <w:bCs/>
          <w:color w:val="4472C4" w:themeColor="accent1"/>
        </w:rPr>
        <w:t>Local economy</w:t>
      </w:r>
      <w:r>
        <w:rPr>
          <w:b/>
          <w:bCs/>
          <w:color w:val="4472C4" w:themeColor="accent1"/>
        </w:rPr>
        <w:t xml:space="preserve">. </w:t>
      </w:r>
      <w:r w:rsidR="00256301">
        <w:t>T</w:t>
      </w:r>
      <w:r w:rsidR="00256301" w:rsidRPr="00CE1D35">
        <w:t xml:space="preserve">he UKFS should more proactively </w:t>
      </w:r>
      <w:r w:rsidR="00256301" w:rsidRPr="00561440">
        <w:t>encourage support for rural development.  Larger or sensitive schemes should be required to demonstrate how they contribute to local woodland- based enterprises and economic activities.</w:t>
      </w:r>
      <w:r w:rsidR="00256301" w:rsidRPr="00CE1D35">
        <w:t xml:space="preserve"> </w:t>
      </w:r>
    </w:p>
    <w:p w14:paraId="507F040B" w14:textId="77777777" w:rsidR="00256301" w:rsidRDefault="00256301" w:rsidP="00256301">
      <w:pPr>
        <w:spacing w:after="0" w:line="240" w:lineRule="auto"/>
        <w:rPr>
          <w:b/>
          <w:bCs/>
        </w:rPr>
      </w:pPr>
    </w:p>
    <w:p w14:paraId="644FF1C4" w14:textId="02B8C37C" w:rsidR="00D7655B" w:rsidRPr="00BF4536" w:rsidRDefault="00BF4536" w:rsidP="00256301">
      <w:pPr>
        <w:pStyle w:val="ListParagraph"/>
        <w:numPr>
          <w:ilvl w:val="0"/>
          <w:numId w:val="40"/>
        </w:numPr>
        <w:spacing w:after="0" w:line="240" w:lineRule="auto"/>
        <w:rPr>
          <w:color w:val="4472C4" w:themeColor="accent1"/>
        </w:rPr>
      </w:pPr>
      <w:r w:rsidRPr="00256301">
        <w:rPr>
          <w:b/>
          <w:bCs/>
          <w:color w:val="4472C4" w:themeColor="accent1"/>
        </w:rPr>
        <w:t>Access and recreation</w:t>
      </w:r>
      <w:r>
        <w:rPr>
          <w:b/>
          <w:bCs/>
          <w:color w:val="4472C4" w:themeColor="accent1"/>
        </w:rPr>
        <w:t>.</w:t>
      </w:r>
      <w:r>
        <w:t xml:space="preserve"> </w:t>
      </w:r>
      <w:r w:rsidR="00256301">
        <w:t xml:space="preserve">Access </w:t>
      </w:r>
      <w:r w:rsidR="00256301" w:rsidRPr="00CE1D35">
        <w:t xml:space="preserve">must be recognised as </w:t>
      </w:r>
      <w:r w:rsidR="00256301" w:rsidRPr="00561440">
        <w:t>relevant to all forest management and creation</w:t>
      </w:r>
      <w:r w:rsidR="00256301" w:rsidRPr="00CE1D35">
        <w:t>.</w:t>
      </w:r>
    </w:p>
    <w:p w14:paraId="11ECD1A1" w14:textId="13A2B6EA" w:rsidR="00256301" w:rsidRPr="00BF4536" w:rsidRDefault="00256301" w:rsidP="00D7655B">
      <w:pPr>
        <w:pStyle w:val="ListParagraph"/>
        <w:spacing w:after="0" w:line="240" w:lineRule="auto"/>
        <w:ind w:left="360"/>
        <w:rPr>
          <w:color w:val="4472C4" w:themeColor="accent1"/>
        </w:rPr>
      </w:pPr>
      <w:r w:rsidRPr="00BF4536">
        <w:rPr>
          <w:color w:val="4472C4" w:themeColor="accent1"/>
        </w:rPr>
        <w:t xml:space="preserve"> </w:t>
      </w:r>
    </w:p>
    <w:p w14:paraId="4532BBCB" w14:textId="77777777" w:rsidR="00256301" w:rsidRDefault="00256301" w:rsidP="00256301">
      <w:pPr>
        <w:pStyle w:val="ListParagraph"/>
        <w:numPr>
          <w:ilvl w:val="1"/>
          <w:numId w:val="40"/>
        </w:numPr>
        <w:spacing w:after="0" w:line="240" w:lineRule="auto"/>
      </w:pPr>
      <w:r w:rsidRPr="00561440">
        <w:rPr>
          <w:rFonts w:eastAsia="Times New Roman"/>
        </w:rPr>
        <w:t xml:space="preserve">An </w:t>
      </w:r>
      <w:r w:rsidRPr="00561440">
        <w:rPr>
          <w:rFonts w:eastAsia="Times New Roman"/>
          <w:b/>
          <w:bCs/>
        </w:rPr>
        <w:t>access management plan</w:t>
      </w:r>
      <w:r w:rsidRPr="00561440">
        <w:rPr>
          <w:rFonts w:eastAsia="Times New Roman"/>
        </w:rPr>
        <w:t xml:space="preserve"> should become a requirement for all large or sensitive woodland creation proposals, and for forest management plans. This must be based on relevant </w:t>
      </w:r>
      <w:r w:rsidRPr="00CE1D35">
        <w:t xml:space="preserve">consultation </w:t>
      </w:r>
      <w:r>
        <w:t>as agents cannot know local usage and recreational requirements</w:t>
      </w:r>
      <w:r w:rsidRPr="00CE1D35">
        <w:t xml:space="preserve">. </w:t>
      </w:r>
    </w:p>
    <w:p w14:paraId="465B3E53" w14:textId="77777777" w:rsidR="00256301" w:rsidRDefault="00256301" w:rsidP="00256301">
      <w:pPr>
        <w:pStyle w:val="ListParagraph"/>
        <w:numPr>
          <w:ilvl w:val="1"/>
          <w:numId w:val="40"/>
        </w:numPr>
        <w:spacing w:after="0" w:line="240" w:lineRule="auto"/>
      </w:pPr>
      <w:r>
        <w:t>E</w:t>
      </w:r>
      <w:r w:rsidRPr="00CE1D35">
        <w:t xml:space="preserve">xisting patterns of access and opportunities for greater public use of the forest should be mapped at the planning stage, by involving the local community and communities of </w:t>
      </w:r>
      <w:r>
        <w:t>interest</w:t>
      </w:r>
      <w:r w:rsidRPr="00CE1D35">
        <w:t xml:space="preserve">.  </w:t>
      </w:r>
    </w:p>
    <w:p w14:paraId="3572DF5A" w14:textId="77777777" w:rsidR="00256301" w:rsidRPr="00CE1D35" w:rsidRDefault="00256301" w:rsidP="00256301">
      <w:pPr>
        <w:pStyle w:val="ListParagraph"/>
        <w:numPr>
          <w:ilvl w:val="1"/>
          <w:numId w:val="40"/>
        </w:numPr>
        <w:spacing w:after="0" w:line="240" w:lineRule="auto"/>
      </w:pPr>
      <w:r w:rsidRPr="00CE1D35">
        <w:t xml:space="preserve">For harvesting and replanting operations, a new access management plan should be required. </w:t>
      </w:r>
    </w:p>
    <w:p w14:paraId="12EF5A70" w14:textId="77777777" w:rsidR="00256301" w:rsidRDefault="00256301" w:rsidP="00256301">
      <w:pPr>
        <w:spacing w:after="0" w:line="240" w:lineRule="auto"/>
        <w:rPr>
          <w:b/>
          <w:bCs/>
        </w:rPr>
      </w:pPr>
    </w:p>
    <w:p w14:paraId="124BC5B6" w14:textId="102A1338" w:rsidR="00256301" w:rsidRPr="00BF4536" w:rsidRDefault="00BF4536" w:rsidP="00256301">
      <w:pPr>
        <w:pStyle w:val="ListParagraph"/>
        <w:numPr>
          <w:ilvl w:val="0"/>
          <w:numId w:val="40"/>
        </w:numPr>
        <w:spacing w:after="0" w:line="240" w:lineRule="auto"/>
        <w:rPr>
          <w:color w:val="4472C4" w:themeColor="accent1"/>
        </w:rPr>
      </w:pPr>
      <w:r w:rsidRPr="00256301">
        <w:rPr>
          <w:b/>
          <w:bCs/>
          <w:color w:val="4472C4" w:themeColor="accent1"/>
        </w:rPr>
        <w:t>Local knowledge as an asset</w:t>
      </w:r>
      <w:r>
        <w:rPr>
          <w:b/>
          <w:bCs/>
          <w:color w:val="4472C4" w:themeColor="accent1"/>
        </w:rPr>
        <w:t xml:space="preserve">. </w:t>
      </w:r>
      <w:r w:rsidR="00256301">
        <w:t xml:space="preserve">The revised </w:t>
      </w:r>
      <w:r w:rsidR="00256301" w:rsidRPr="00561440">
        <w:rPr>
          <w:smallCaps/>
        </w:rPr>
        <w:t>UKFS</w:t>
      </w:r>
      <w:r w:rsidR="00256301">
        <w:t xml:space="preserve"> must acknowledge and provide routes to inclusion of local knowledge in forest management and planting plans</w:t>
      </w:r>
      <w:r>
        <w:rPr>
          <w:color w:val="4472C4" w:themeColor="accent1"/>
        </w:rPr>
        <w:t xml:space="preserve">. </w:t>
      </w:r>
    </w:p>
    <w:p w14:paraId="685EB06A" w14:textId="77777777" w:rsidR="00D7655B" w:rsidRPr="00BF4536" w:rsidRDefault="00D7655B" w:rsidP="00D7655B">
      <w:pPr>
        <w:pStyle w:val="ListParagraph"/>
        <w:spacing w:after="0" w:line="240" w:lineRule="auto"/>
        <w:ind w:left="360"/>
        <w:rPr>
          <w:color w:val="4472C4" w:themeColor="accent1"/>
        </w:rPr>
      </w:pPr>
    </w:p>
    <w:p w14:paraId="7FEC9EF8" w14:textId="77777777" w:rsidR="00256301" w:rsidRDefault="00256301" w:rsidP="00256301">
      <w:pPr>
        <w:pStyle w:val="ListParagraph"/>
        <w:numPr>
          <w:ilvl w:val="1"/>
          <w:numId w:val="40"/>
        </w:numPr>
        <w:spacing w:after="0" w:line="240" w:lineRule="auto"/>
      </w:pPr>
      <w:r>
        <w:t>It</w:t>
      </w:r>
      <w:r w:rsidRPr="00CE1D35">
        <w:t xml:space="preserve"> should recognise the need for stakeholder engagement to fulfil biodiversity criteria</w:t>
      </w:r>
      <w:r>
        <w:t>, including local recorders</w:t>
      </w:r>
      <w:r w:rsidRPr="00CE1D35">
        <w:t xml:space="preserve">. </w:t>
      </w:r>
      <w:r>
        <w:t>It can do this by requiring new planting and FMPs to:</w:t>
      </w:r>
    </w:p>
    <w:p w14:paraId="339B97B7" w14:textId="77777777" w:rsidR="00256301" w:rsidRDefault="00256301" w:rsidP="00256301">
      <w:pPr>
        <w:pStyle w:val="ListParagraph"/>
        <w:numPr>
          <w:ilvl w:val="0"/>
          <w:numId w:val="39"/>
        </w:numPr>
        <w:spacing w:after="0" w:line="240" w:lineRule="auto"/>
      </w:pPr>
      <w:r w:rsidRPr="00CE1D35">
        <w:t>access and use data held at Local Record Centres;</w:t>
      </w:r>
    </w:p>
    <w:p w14:paraId="682EE1DB" w14:textId="5DDDD95A" w:rsidR="00C50923" w:rsidRPr="00CE1D35" w:rsidRDefault="00C50923" w:rsidP="00256301">
      <w:pPr>
        <w:pStyle w:val="ListParagraph"/>
        <w:numPr>
          <w:ilvl w:val="0"/>
          <w:numId w:val="39"/>
        </w:numPr>
        <w:spacing w:after="0" w:line="240" w:lineRule="auto"/>
      </w:pPr>
      <w:r>
        <w:t xml:space="preserve">invite local wildlife groups to </w:t>
      </w:r>
      <w:r w:rsidR="007B54B0">
        <w:t xml:space="preserve">respond with data; </w:t>
      </w:r>
    </w:p>
    <w:p w14:paraId="7E75A776" w14:textId="77777777" w:rsidR="00256301" w:rsidRPr="00CE1D35" w:rsidRDefault="00256301" w:rsidP="00256301">
      <w:pPr>
        <w:pStyle w:val="ListParagraph"/>
        <w:numPr>
          <w:ilvl w:val="0"/>
          <w:numId w:val="38"/>
        </w:numPr>
        <w:spacing w:after="0" w:line="240" w:lineRule="auto"/>
        <w:ind w:hanging="360"/>
      </w:pPr>
      <w:r w:rsidRPr="00CE1D35">
        <w:t xml:space="preserve">make all relevant data publicly available so that local communities and stakeholders can make informed responses. </w:t>
      </w:r>
    </w:p>
    <w:p w14:paraId="02A64518" w14:textId="77777777" w:rsidR="00256301" w:rsidRDefault="00256301" w:rsidP="00256301">
      <w:pPr>
        <w:pStyle w:val="ListParagraph"/>
        <w:numPr>
          <w:ilvl w:val="1"/>
          <w:numId w:val="40"/>
        </w:numPr>
        <w:spacing w:after="0" w:line="240" w:lineRule="auto"/>
      </w:pPr>
      <w:r>
        <w:t>Similarly the revised UKFS must require that f</w:t>
      </w:r>
      <w:r w:rsidRPr="00CE1D35">
        <w:t>orest</w:t>
      </w:r>
      <w:r>
        <w:t xml:space="preserve"> management ‘</w:t>
      </w:r>
      <w:r w:rsidRPr="00CE1D35">
        <w:t xml:space="preserve">take account of the historical character and cultural values of the landscape’ </w:t>
      </w:r>
      <w:r>
        <w:t xml:space="preserve">by seeking and incorporating </w:t>
      </w:r>
      <w:r w:rsidRPr="00CE1D35">
        <w:t xml:space="preserve">the knowledge </w:t>
      </w:r>
      <w:r>
        <w:t>and</w:t>
      </w:r>
      <w:r w:rsidRPr="00CE1D35">
        <w:t xml:space="preserve"> values of relevant communities of interest and place. </w:t>
      </w:r>
    </w:p>
    <w:p w14:paraId="416FD612" w14:textId="77777777" w:rsidR="00256301" w:rsidRPr="0053617B" w:rsidRDefault="00256301" w:rsidP="00256301">
      <w:pPr>
        <w:spacing w:after="0" w:line="240" w:lineRule="auto"/>
        <w:rPr>
          <w:b/>
          <w:bCs/>
        </w:rPr>
      </w:pPr>
    </w:p>
    <w:p w14:paraId="7A744E92" w14:textId="23C92F66" w:rsidR="00256301" w:rsidRPr="00BF4536" w:rsidRDefault="00BF4536" w:rsidP="00256301">
      <w:pPr>
        <w:pStyle w:val="ListParagraph"/>
        <w:numPr>
          <w:ilvl w:val="0"/>
          <w:numId w:val="40"/>
        </w:numPr>
        <w:spacing w:after="0" w:line="240" w:lineRule="auto"/>
        <w:rPr>
          <w:color w:val="4472C4" w:themeColor="accent1"/>
        </w:rPr>
      </w:pPr>
      <w:r w:rsidRPr="00256301">
        <w:rPr>
          <w:b/>
          <w:bCs/>
          <w:color w:val="4472C4" w:themeColor="accent1"/>
        </w:rPr>
        <w:t>Guidance for implementation and monitorin</w:t>
      </w:r>
      <w:r>
        <w:rPr>
          <w:b/>
          <w:bCs/>
          <w:color w:val="4472C4" w:themeColor="accent1"/>
        </w:rPr>
        <w:t xml:space="preserve">g. </w:t>
      </w:r>
      <w:r w:rsidR="00256301" w:rsidRPr="00366C38">
        <w:t>UKFS must be supported with clear guidance for regulators and help to improve</w:t>
      </w:r>
      <w:r w:rsidR="00256301" w:rsidRPr="00CE1D35">
        <w:t xml:space="preserve"> compliance</w:t>
      </w:r>
    </w:p>
    <w:p w14:paraId="18CD5CFF" w14:textId="77777777" w:rsidR="00CA12A8" w:rsidRPr="00CE1D35" w:rsidRDefault="00CA12A8" w:rsidP="00CA12A8"/>
    <w:p w14:paraId="7C53F56E" w14:textId="3105F282" w:rsidR="007F1D0C" w:rsidRPr="00CE1D35" w:rsidRDefault="007F1D0C" w:rsidP="007F1D0C">
      <w:pPr>
        <w:pStyle w:val="Heading1"/>
      </w:pPr>
      <w:r w:rsidRPr="00CE1D35">
        <w:t>Why the need for this paper</w:t>
      </w:r>
      <w:bookmarkEnd w:id="0"/>
    </w:p>
    <w:p w14:paraId="3BFB7898" w14:textId="77777777" w:rsidR="007F1D0C" w:rsidRPr="00CE1D35" w:rsidRDefault="007F1D0C" w:rsidP="007F1D0C">
      <w:pPr>
        <w:pStyle w:val="Heading2"/>
      </w:pPr>
      <w:bookmarkStart w:id="1" w:name="_Toc93249673"/>
      <w:r w:rsidRPr="00CE1D35">
        <w:t>Purpose of UKFS</w:t>
      </w:r>
      <w:bookmarkEnd w:id="1"/>
    </w:p>
    <w:p w14:paraId="12B8D02D" w14:textId="10341EA5" w:rsidR="00984AFC" w:rsidRPr="00CE1D35" w:rsidRDefault="007F1D0C" w:rsidP="0077526A">
      <w:r w:rsidRPr="00CE1D35">
        <w:rPr>
          <w:rStyle w:val="Strong"/>
          <w:b w:val="0"/>
          <w:bCs w:val="0"/>
        </w:rPr>
        <w:t xml:space="preserve">The UKFS is </w:t>
      </w:r>
      <w:r w:rsidR="00984AFC" w:rsidRPr="00CE1D35">
        <w:rPr>
          <w:rStyle w:val="Strong"/>
          <w:b w:val="0"/>
          <w:bCs w:val="0"/>
        </w:rPr>
        <w:t xml:space="preserve">intended to provide </w:t>
      </w:r>
      <w:r w:rsidRPr="00CE1D35">
        <w:rPr>
          <w:rStyle w:val="Strong"/>
          <w:b w:val="0"/>
          <w:bCs w:val="0"/>
        </w:rPr>
        <w:t xml:space="preserve">a basis for regulation and monitoring, and </w:t>
      </w:r>
      <w:r w:rsidR="00984AFC" w:rsidRPr="00CE1D35">
        <w:rPr>
          <w:rStyle w:val="Strong"/>
          <w:b w:val="0"/>
          <w:bCs w:val="0"/>
        </w:rPr>
        <w:t xml:space="preserve">to </w:t>
      </w:r>
      <w:r w:rsidRPr="00CE1D35">
        <w:rPr>
          <w:rStyle w:val="Strong"/>
          <w:b w:val="0"/>
          <w:bCs w:val="0"/>
        </w:rPr>
        <w:t>set guidelines for sustainable forest management</w:t>
      </w:r>
      <w:r w:rsidR="00984AFC" w:rsidRPr="00CE1D35">
        <w:rPr>
          <w:rStyle w:val="Strong"/>
          <w:b w:val="0"/>
          <w:bCs w:val="0"/>
        </w:rPr>
        <w:t xml:space="preserve">, which is recognised as having </w:t>
      </w:r>
      <w:r w:rsidRPr="00CE1D35">
        <w:t xml:space="preserve"> environmental, economic and social </w:t>
      </w:r>
      <w:r w:rsidR="00984AFC" w:rsidRPr="00CE1D35">
        <w:t xml:space="preserve"> components</w:t>
      </w:r>
      <w:r w:rsidRPr="00CE1D35">
        <w:t xml:space="preserve">. </w:t>
      </w:r>
    </w:p>
    <w:p w14:paraId="1EDE5B3D" w14:textId="5860D937" w:rsidR="00984AFC" w:rsidRPr="00CE1D35" w:rsidRDefault="007F1D0C" w:rsidP="00355E46">
      <w:r w:rsidRPr="00CE1D35">
        <w:t xml:space="preserve">A standard </w:t>
      </w:r>
      <w:r w:rsidR="00984AFC" w:rsidRPr="00CE1D35">
        <w:t xml:space="preserve">would usually be expected to give </w:t>
      </w:r>
      <w:r w:rsidRPr="00CE1D35">
        <w:t xml:space="preserve">clear indicators of compliance, but </w:t>
      </w:r>
      <w:r w:rsidR="00984AFC" w:rsidRPr="00CE1D35">
        <w:t xml:space="preserve">much of </w:t>
      </w:r>
      <w:r w:rsidRPr="00CE1D35">
        <w:t xml:space="preserve">UKFS 2017 is not worded in this way.  </w:t>
      </w:r>
      <w:r w:rsidR="00984AFC" w:rsidRPr="00CE1D35">
        <w:t>Instead, p</w:t>
      </w:r>
      <w:r w:rsidRPr="00CE1D35">
        <w:t xml:space="preserve">articularly in the ‘People’ section, </w:t>
      </w:r>
      <w:r w:rsidR="00984AFC" w:rsidRPr="00CE1D35">
        <w:t xml:space="preserve">many </w:t>
      </w:r>
      <w:r w:rsidRPr="00CE1D35">
        <w:t xml:space="preserve"> </w:t>
      </w:r>
      <w:r w:rsidR="00984AFC" w:rsidRPr="00CE1D35">
        <w:t>points are couched as “things to consider”</w:t>
      </w:r>
      <w:r w:rsidRPr="00CE1D35">
        <w:t xml:space="preserve">. </w:t>
      </w:r>
      <w:r w:rsidR="00984AFC" w:rsidRPr="00CE1D35">
        <w:t xml:space="preserve"> </w:t>
      </w:r>
      <w:r w:rsidR="001D44BC" w:rsidRPr="00CE1D35">
        <w:t>T</w:t>
      </w:r>
      <w:r w:rsidR="00984AFC" w:rsidRPr="00CE1D35">
        <w:t>his may be appropriate for some points</w:t>
      </w:r>
      <w:r w:rsidR="0077526A" w:rsidRPr="00CE1D35">
        <w:t xml:space="preserve">, </w:t>
      </w:r>
      <w:r w:rsidR="00E644A0" w:rsidRPr="00CE1D35">
        <w:t xml:space="preserve">such as </w:t>
      </w:r>
      <w:r w:rsidR="00984AFC" w:rsidRPr="00CE1D35">
        <w:rPr>
          <w:color w:val="auto"/>
          <w:shd w:val="clear" w:color="auto" w:fill="auto"/>
        </w:rPr>
        <w:t>opportunities for volunteering</w:t>
      </w:r>
      <w:r w:rsidR="00E644A0" w:rsidRPr="00CE1D35">
        <w:rPr>
          <w:color w:val="auto"/>
          <w:shd w:val="clear" w:color="auto" w:fill="auto"/>
        </w:rPr>
        <w:t xml:space="preserve">. </w:t>
      </w:r>
      <w:r w:rsidR="001D44BC" w:rsidRPr="00CE1D35">
        <w:t>But many</w:t>
      </w:r>
      <w:r w:rsidR="00984AFC" w:rsidRPr="00CE1D35">
        <w:t xml:space="preserve"> points should not be optional, especially for larger or sensitive application</w:t>
      </w:r>
      <w:r w:rsidR="005B5A85" w:rsidRPr="00CE1D35">
        <w:t>s</w:t>
      </w:r>
      <w:r w:rsidR="003644D1" w:rsidRPr="00CE1D35">
        <w:t>. F</w:t>
      </w:r>
      <w:r w:rsidR="0077526A" w:rsidRPr="00CE1D35">
        <w:t>or example</w:t>
      </w:r>
      <w:r w:rsidR="003644D1" w:rsidRPr="00CE1D35">
        <w:t xml:space="preserve">, </w:t>
      </w:r>
      <w:r w:rsidR="00CA12A8" w:rsidRPr="00CE1D35">
        <w:t>‘</w:t>
      </w:r>
      <w:r w:rsidR="00984AFC" w:rsidRPr="00CE1D35">
        <w:t xml:space="preserve"> involving people in the development of forestry proposals</w:t>
      </w:r>
      <w:r w:rsidR="00CA12A8" w:rsidRPr="00CE1D35">
        <w:t>’ and ‘</w:t>
      </w:r>
      <w:r w:rsidR="00984AFC" w:rsidRPr="00CE1D35">
        <w:rPr>
          <w:color w:val="auto"/>
          <w:shd w:val="clear" w:color="auto" w:fill="auto"/>
        </w:rPr>
        <w:t xml:space="preserve">producing an access </w:t>
      </w:r>
      <w:r w:rsidR="00984AFC" w:rsidRPr="00CE1D35">
        <w:rPr>
          <w:color w:val="auto"/>
          <w:shd w:val="clear" w:color="auto" w:fill="auto"/>
        </w:rPr>
        <w:lastRenderedPageBreak/>
        <w:t>management plan</w:t>
      </w:r>
      <w:r w:rsidR="00CA12A8" w:rsidRPr="00CE1D35">
        <w:rPr>
          <w:color w:val="auto"/>
          <w:shd w:val="clear" w:color="auto" w:fill="auto"/>
        </w:rPr>
        <w:t>’</w:t>
      </w:r>
      <w:r w:rsidR="00355E46" w:rsidRPr="00CE1D35">
        <w:rPr>
          <w:color w:val="auto"/>
          <w:shd w:val="clear" w:color="auto" w:fill="auto"/>
        </w:rPr>
        <w:t xml:space="preserve"> </w:t>
      </w:r>
      <w:r w:rsidR="003644D1" w:rsidRPr="00CE1D35">
        <w:t xml:space="preserve">cannot simply be ‘considered’ especially </w:t>
      </w:r>
      <w:r w:rsidR="00355E46" w:rsidRPr="00CE1D35">
        <w:t>as</w:t>
      </w:r>
      <w:r w:rsidR="003644D1" w:rsidRPr="00CE1D35">
        <w:t xml:space="preserve"> such ‘consideration’ </w:t>
      </w:r>
      <w:r w:rsidR="00355E46" w:rsidRPr="00CE1D35">
        <w:t xml:space="preserve">often </w:t>
      </w:r>
      <w:r w:rsidR="003644D1" w:rsidRPr="00CE1D35">
        <w:t xml:space="preserve">results in no </w:t>
      </w:r>
      <w:r w:rsidR="00282F00" w:rsidRPr="00CE1D35">
        <w:t xml:space="preserve">action. </w:t>
      </w:r>
      <w:r w:rsidR="00902DCE" w:rsidRPr="00CE1D35">
        <w:t>Re-</w:t>
      </w:r>
      <w:r w:rsidR="00984AFC" w:rsidRPr="00CE1D35">
        <w:t xml:space="preserve">phrasing of guidance would </w:t>
      </w:r>
      <w:r w:rsidR="0077526A" w:rsidRPr="00CE1D35">
        <w:t>reduce</w:t>
      </w:r>
      <w:r w:rsidR="00984AFC" w:rsidRPr="00CE1D35">
        <w:t xml:space="preserve"> conflict by reducing ambiguity and clarifying expectation</w:t>
      </w:r>
      <w:r w:rsidR="00902DCE" w:rsidRPr="00CE1D35">
        <w:t>s</w:t>
      </w:r>
      <w:r w:rsidR="00984AFC" w:rsidRPr="00CE1D35">
        <w:t xml:space="preserve"> for all parties</w:t>
      </w:r>
      <w:r w:rsidR="00474F5A" w:rsidRPr="00CE1D35">
        <w:t xml:space="preserve">, including </w:t>
      </w:r>
      <w:r w:rsidR="00984AFC" w:rsidRPr="00CE1D35">
        <w:t>regulators, land managers</w:t>
      </w:r>
      <w:r w:rsidR="00474F5A" w:rsidRPr="00CE1D35">
        <w:t>,</w:t>
      </w:r>
      <w:r w:rsidR="00984AFC" w:rsidRPr="00CE1D35">
        <w:t xml:space="preserve"> agents</w:t>
      </w:r>
      <w:r w:rsidR="00474F5A" w:rsidRPr="00CE1D35">
        <w:t>, local communities</w:t>
      </w:r>
      <w:r w:rsidR="00984AFC" w:rsidRPr="00CE1D35">
        <w:t xml:space="preserve"> </w:t>
      </w:r>
      <w:r w:rsidR="0077526A" w:rsidRPr="00CE1D35">
        <w:t>and the</w:t>
      </w:r>
      <w:r w:rsidR="00984AFC" w:rsidRPr="00CE1D35">
        <w:t xml:space="preserve"> public</w:t>
      </w:r>
      <w:r w:rsidR="0077526A" w:rsidRPr="00CE1D35">
        <w:t>.</w:t>
      </w:r>
    </w:p>
    <w:p w14:paraId="534B466D" w14:textId="648CF316" w:rsidR="00065E8B" w:rsidRPr="00CE1D35" w:rsidRDefault="00355E46" w:rsidP="007F1D0C">
      <w:r w:rsidRPr="00CE1D35">
        <w:t>T</w:t>
      </w:r>
      <w:r w:rsidR="00065E8B" w:rsidRPr="00CE1D35">
        <w:rPr>
          <w:color w:val="auto"/>
          <w:shd w:val="clear" w:color="auto" w:fill="auto"/>
        </w:rPr>
        <w:t>he UKFS defines sustainability in the UK context. F</w:t>
      </w:r>
      <w:r w:rsidR="00065E8B" w:rsidRPr="00CE1D35">
        <w:t xml:space="preserve">orestry is not sustainable where it is to the detriment of society’s and / or local communities’ values, well-being and livelihoods, and / or where it provokes conflict. </w:t>
      </w:r>
      <w:r w:rsidR="00BE7A09" w:rsidRPr="00CE1D35">
        <w:t xml:space="preserve">Some aspects of the UKFS need to be tighter in order to help avoid </w:t>
      </w:r>
      <w:r w:rsidR="003A7165" w:rsidRPr="00CE1D35">
        <w:t>these undesirable impacts</w:t>
      </w:r>
      <w:r w:rsidR="00BE7A09" w:rsidRPr="00CE1D35">
        <w:t xml:space="preserve">. </w:t>
      </w:r>
    </w:p>
    <w:p w14:paraId="59749F40" w14:textId="05C79D6C" w:rsidR="009F1AAA" w:rsidRPr="00CE1D35" w:rsidRDefault="006E68FF" w:rsidP="007F1D0C">
      <w:pPr>
        <w:rPr>
          <w:rFonts w:eastAsia="Times New Roman"/>
        </w:rPr>
      </w:pPr>
      <w:r w:rsidRPr="00CE1D35">
        <w:rPr>
          <w:rFonts w:eastAsia="Times New Roman"/>
        </w:rPr>
        <w:t xml:space="preserve">Tighter criteria </w:t>
      </w:r>
      <w:r w:rsidR="003011E3" w:rsidRPr="00CE1D35">
        <w:rPr>
          <w:rFonts w:eastAsia="Times New Roman"/>
        </w:rPr>
        <w:t xml:space="preserve">(such as community consultation) </w:t>
      </w:r>
      <w:r w:rsidRPr="00CE1D35">
        <w:rPr>
          <w:rFonts w:eastAsia="Times New Roman"/>
        </w:rPr>
        <w:t xml:space="preserve">are currently set by individual grants schemes. </w:t>
      </w:r>
      <w:r w:rsidR="003011E3" w:rsidRPr="00CE1D35">
        <w:rPr>
          <w:rFonts w:eastAsia="Times New Roman"/>
        </w:rPr>
        <w:t xml:space="preserve">But the overarching standard should already define those. </w:t>
      </w:r>
      <w:r w:rsidRPr="00CE1D35">
        <w:rPr>
          <w:rFonts w:eastAsia="Times New Roman"/>
        </w:rPr>
        <w:t>T</w:t>
      </w:r>
      <w:r w:rsidR="00234610" w:rsidRPr="00CE1D35">
        <w:rPr>
          <w:rFonts w:eastAsia="Times New Roman"/>
        </w:rPr>
        <w:t xml:space="preserve">o ensure good practice is part of the </w:t>
      </w:r>
      <w:r w:rsidR="009F1AAA" w:rsidRPr="00CE1D35">
        <w:rPr>
          <w:rFonts w:eastAsia="Times New Roman"/>
        </w:rPr>
        <w:t>culture, practice and outcomes</w:t>
      </w:r>
      <w:r w:rsidR="00234610" w:rsidRPr="00CE1D35">
        <w:rPr>
          <w:rFonts w:eastAsia="Times New Roman"/>
        </w:rPr>
        <w:t xml:space="preserve"> of forestry management</w:t>
      </w:r>
      <w:r w:rsidR="00652178" w:rsidRPr="00CE1D35">
        <w:rPr>
          <w:rFonts w:eastAsia="Times New Roman"/>
        </w:rPr>
        <w:t xml:space="preserve"> across the UK</w:t>
      </w:r>
      <w:r w:rsidRPr="00CE1D35">
        <w:rPr>
          <w:rFonts w:eastAsia="Times New Roman"/>
        </w:rPr>
        <w:t xml:space="preserve">, the </w:t>
      </w:r>
      <w:r w:rsidR="00652178" w:rsidRPr="00CE1D35">
        <w:rPr>
          <w:rFonts w:eastAsia="Times New Roman"/>
        </w:rPr>
        <w:t>benchmark for sustainability cannot be devolved to specific circumstances</w:t>
      </w:r>
      <w:r w:rsidR="009F1AAA" w:rsidRPr="00CE1D35">
        <w:rPr>
          <w:rFonts w:eastAsia="Times New Roman"/>
        </w:rPr>
        <w:t xml:space="preserve">, </w:t>
      </w:r>
      <w:r w:rsidR="003011E3" w:rsidRPr="00CE1D35">
        <w:rPr>
          <w:rFonts w:eastAsia="Times New Roman"/>
        </w:rPr>
        <w:t xml:space="preserve">but </w:t>
      </w:r>
      <w:r w:rsidR="009F1AAA" w:rsidRPr="00CE1D35">
        <w:rPr>
          <w:rFonts w:eastAsia="Times New Roman"/>
        </w:rPr>
        <w:t xml:space="preserve">must be </w:t>
      </w:r>
      <w:r w:rsidR="003011E3" w:rsidRPr="00CE1D35">
        <w:rPr>
          <w:rFonts w:eastAsia="Times New Roman"/>
        </w:rPr>
        <w:t>applied universally</w:t>
      </w:r>
      <w:r w:rsidR="009F1AAA" w:rsidRPr="00CE1D35">
        <w:rPr>
          <w:rFonts w:eastAsia="Times New Roman"/>
        </w:rPr>
        <w:t>.</w:t>
      </w:r>
    </w:p>
    <w:p w14:paraId="30DB34D6" w14:textId="77777777" w:rsidR="007F1D0C" w:rsidRPr="00CE1D35" w:rsidRDefault="007F1D0C" w:rsidP="007F1D0C">
      <w:pPr>
        <w:pStyle w:val="Heading2"/>
      </w:pPr>
      <w:r w:rsidRPr="00CE1D35">
        <w:t>People as an asset</w:t>
      </w:r>
    </w:p>
    <w:p w14:paraId="6486B2E2" w14:textId="4CA217A1" w:rsidR="007F1D0C" w:rsidRPr="00CE1D35" w:rsidRDefault="007F1D0C" w:rsidP="007F1D0C">
      <w:r w:rsidRPr="00CE1D35">
        <w:t>The UKFS acknowledges the importance of the role of people in delivering good forestry practice.  UKFS 2017 describes both the significant social benefits of forestry and how an inclusive approach to community involvement ‘will help ensure that the facilities, goods and services provided are suitable for the widest range of people.’  The Standard references the Scottish Forest Strategy’s focus on ‘forestry for and with people’ (from the 2006 strategy; the current strategy does not include this phrase)</w:t>
      </w:r>
      <w:r w:rsidR="006F6952" w:rsidRPr="00CE1D35">
        <w:t>.</w:t>
      </w:r>
    </w:p>
    <w:p w14:paraId="1E896A56" w14:textId="77777777" w:rsidR="007F1D0C" w:rsidRPr="00CE1D35" w:rsidRDefault="007F1D0C" w:rsidP="007F1D0C">
      <w:r w:rsidRPr="00CE1D35">
        <w:t xml:space="preserve">While we support these principles, we also believe that they should be extended to acknowledge the value that </w:t>
      </w:r>
      <w:r w:rsidRPr="00CE1D35">
        <w:rPr>
          <w:b/>
          <w:bCs/>
        </w:rPr>
        <w:t>people can contribute to delivering high quality outcomes from forestry</w:t>
      </w:r>
      <w:r w:rsidRPr="00CE1D35">
        <w:t xml:space="preserve"> and that this in turn should lead to clearer requirements in the UKFS on engaging with people.  </w:t>
      </w:r>
    </w:p>
    <w:p w14:paraId="0AB11441" w14:textId="4A72098B" w:rsidR="00D3630E" w:rsidRPr="00CE1D35" w:rsidRDefault="007F1D0C" w:rsidP="007F1D0C">
      <w:r w:rsidRPr="00CE1D35">
        <w:t xml:space="preserve">Perhaps most obviously, people can bring local knowledge that is often not available to forestry companies or Scottish Forestry.  They will often have a ‘feel’ for an area and its sense of place, its heritage, interest and relevance. </w:t>
      </w:r>
      <w:r w:rsidR="00547F68" w:rsidRPr="00CE1D35">
        <w:t xml:space="preserve"> Their involvement will ensure better ecosystem service provision, climate change and biodiversity outcomes.</w:t>
      </w:r>
      <w:r w:rsidRPr="00CE1D35">
        <w:t xml:space="preserve"> Finally, people can offer insights about economic opportunities, alternatives to conventional commercial forestry, and ways the land </w:t>
      </w:r>
      <w:r w:rsidR="002A6D29" w:rsidRPr="00CE1D35">
        <w:t>is being</w:t>
      </w:r>
      <w:r w:rsidR="00D87CFF" w:rsidRPr="00CE1D35">
        <w:t xml:space="preserve"> </w:t>
      </w:r>
      <w:r w:rsidR="001A6EDB" w:rsidRPr="00CE1D35">
        <w:t xml:space="preserve">and </w:t>
      </w:r>
      <w:r w:rsidRPr="00CE1D35">
        <w:t xml:space="preserve">can be used by people for recreation, wellbeing or education, which will help to achieve the spirit as well as the letter of the UKFS. </w:t>
      </w:r>
    </w:p>
    <w:p w14:paraId="4CEA2C08" w14:textId="1270C505" w:rsidR="00E1421E" w:rsidRPr="00112F92" w:rsidRDefault="001C2C28" w:rsidP="00112F92">
      <w:pPr>
        <w:pStyle w:val="Heading2"/>
      </w:pPr>
      <w:bookmarkStart w:id="2" w:name="_Toc93249678"/>
      <w:r w:rsidRPr="00CE1D35">
        <w:t xml:space="preserve">UKFS must reflect context of tensions over land ownership and rapid land use change </w:t>
      </w:r>
      <w:bookmarkEnd w:id="2"/>
    </w:p>
    <w:p w14:paraId="6C6D0BEC" w14:textId="014E235E" w:rsidR="001C2C28" w:rsidRPr="00CE1D35" w:rsidRDefault="009E6FED" w:rsidP="00123248">
      <w:pPr>
        <w:rPr>
          <w:lang w:eastAsia="en-GB"/>
        </w:rPr>
      </w:pPr>
      <w:r w:rsidRPr="00CE1D35">
        <w:rPr>
          <w:lang w:eastAsia="en-GB"/>
        </w:rPr>
        <w:t>T</w:t>
      </w:r>
      <w:r w:rsidR="00E1421E" w:rsidRPr="00CE1D35">
        <w:rPr>
          <w:lang w:eastAsia="en-GB"/>
        </w:rPr>
        <w:t xml:space="preserve">he UKFS must be framed within the contexts of the respective nations and </w:t>
      </w:r>
      <w:r w:rsidR="0090101B" w:rsidRPr="00CE1D35">
        <w:rPr>
          <w:lang w:eastAsia="en-GB"/>
        </w:rPr>
        <w:t>acknowledge</w:t>
      </w:r>
      <w:r w:rsidR="00E1421E" w:rsidRPr="00CE1D35">
        <w:rPr>
          <w:lang w:eastAsia="en-GB"/>
        </w:rPr>
        <w:t xml:space="preserve"> that</w:t>
      </w:r>
      <w:r w:rsidR="0090101B" w:rsidRPr="00CE1D35">
        <w:rPr>
          <w:lang w:eastAsia="en-GB"/>
        </w:rPr>
        <w:t xml:space="preserve"> </w:t>
      </w:r>
      <w:r w:rsidR="00E1421E" w:rsidRPr="00CE1D35">
        <w:rPr>
          <w:lang w:eastAsia="en-GB"/>
        </w:rPr>
        <w:t xml:space="preserve">there are significant tensions around </w:t>
      </w:r>
      <w:r w:rsidR="001C2C28" w:rsidRPr="00CE1D35">
        <w:rPr>
          <w:lang w:eastAsia="en-GB"/>
        </w:rPr>
        <w:t xml:space="preserve">the distribution of benefits from </w:t>
      </w:r>
      <w:r w:rsidR="00E1421E" w:rsidRPr="00CE1D35">
        <w:rPr>
          <w:lang w:eastAsia="en-GB"/>
        </w:rPr>
        <w:t xml:space="preserve">land ownership and </w:t>
      </w:r>
      <w:r w:rsidR="001C2C28" w:rsidRPr="00CE1D35">
        <w:rPr>
          <w:lang w:eastAsia="en-GB"/>
        </w:rPr>
        <w:t xml:space="preserve">land </w:t>
      </w:r>
      <w:r w:rsidR="00E1421E" w:rsidRPr="00CE1D35">
        <w:rPr>
          <w:lang w:eastAsia="en-GB"/>
        </w:rPr>
        <w:t>use</w:t>
      </w:r>
      <w:r w:rsidR="001C2C28" w:rsidRPr="00CE1D35">
        <w:rPr>
          <w:lang w:eastAsia="en-GB"/>
        </w:rPr>
        <w:t xml:space="preserve"> change</w:t>
      </w:r>
      <w:r w:rsidR="00E94076" w:rsidRPr="00CE1D35">
        <w:rPr>
          <w:lang w:eastAsia="en-GB"/>
        </w:rPr>
        <w:t>. T</w:t>
      </w:r>
      <w:r w:rsidR="00E1421E" w:rsidRPr="00CE1D35">
        <w:rPr>
          <w:lang w:eastAsia="en-GB"/>
        </w:rPr>
        <w:t xml:space="preserve">he interpretation and implementation of UKFS must not be seen to hinder broader policy objectives. </w:t>
      </w:r>
    </w:p>
    <w:p w14:paraId="1477E826" w14:textId="04342B8B" w:rsidR="00C0026F" w:rsidRPr="00CE1D35" w:rsidRDefault="00C0026F" w:rsidP="00123248">
      <w:r w:rsidRPr="00CE1D35">
        <w:t xml:space="preserve">The forestry and land use context has changed markedly in recent years, with all administrations identifying woodland creation as a key mechanism for tackling climate change. Woodland creation in Scotland is at its highest levels for 20 years, and is anticipated to rise in all nations to </w:t>
      </w:r>
      <w:r w:rsidR="00123248" w:rsidRPr="00CE1D35">
        <w:t>rates</w:t>
      </w:r>
      <w:r w:rsidRPr="00CE1D35">
        <w:t xml:space="preserve"> not seen since the 1980s</w:t>
      </w:r>
      <w:r w:rsidR="00E94076" w:rsidRPr="00CE1D35">
        <w:t>.</w:t>
      </w:r>
    </w:p>
    <w:p w14:paraId="57B03354" w14:textId="77777777" w:rsidR="001A3736" w:rsidRPr="00CE1D35" w:rsidRDefault="001A3736" w:rsidP="001A3736">
      <w:r w:rsidRPr="00CE1D35">
        <w:t xml:space="preserve">The cumulative impact of afforestation proposals, with the promise of more to come, is a matter of considerable public concern and is contributing to serious polarisation in a sector that should be focusing on resilience and facing the future together. </w:t>
      </w:r>
    </w:p>
    <w:p w14:paraId="5E425D08" w14:textId="7556DADD" w:rsidR="00C0026F" w:rsidRPr="00CE1D35" w:rsidRDefault="00C0026F" w:rsidP="00C0026F">
      <w:pPr>
        <w:rPr>
          <w:szCs w:val="24"/>
        </w:rPr>
      </w:pPr>
      <w:r w:rsidRPr="00CE1D35">
        <w:lastRenderedPageBreak/>
        <w:t>Whilst a great many woodland creation schemes are small and uncontentious, over half the approved area in Scotland is accounted for by the 130 largest schemes: those over 100ha, which represent very significant land use change</w:t>
      </w:r>
      <w:r w:rsidR="001E73E5" w:rsidRPr="00CE1D35">
        <w:t xml:space="preserve">. </w:t>
      </w:r>
      <w:r w:rsidRPr="00CE1D35">
        <w:t>Additionally, whilst nationally there is substantial uptake of a range of planting options, there are significant regional disparities</w:t>
      </w:r>
      <w:r w:rsidR="00A62D8E" w:rsidRPr="00CE1D35">
        <w:t xml:space="preserve">. The ‘Conifer </w:t>
      </w:r>
      <w:r w:rsidR="00C01A4E" w:rsidRPr="00CE1D35">
        <w:t>(</w:t>
      </w:r>
      <w:r w:rsidRPr="00CE1D35">
        <w:t>predominantly Sitka spruce</w:t>
      </w:r>
      <w:r w:rsidR="00C01A4E" w:rsidRPr="00CE1D35">
        <w:t>)</w:t>
      </w:r>
      <w:r w:rsidR="000E7314" w:rsidRPr="00CE1D35">
        <w:t>’</w:t>
      </w:r>
      <w:r w:rsidRPr="00CE1D35">
        <w:t xml:space="preserve"> option </w:t>
      </w:r>
      <w:r w:rsidR="000E7314" w:rsidRPr="00CE1D35">
        <w:t xml:space="preserve">accounts </w:t>
      </w:r>
      <w:r w:rsidRPr="00CE1D35">
        <w:t>for 80% of approved planting in the South Scotland conservancy</w:t>
      </w:r>
      <w:r w:rsidR="001E73E5" w:rsidRPr="00CE1D35">
        <w:t xml:space="preserve"> </w:t>
      </w:r>
      <w:r w:rsidR="000E7314" w:rsidRPr="00CE1D35">
        <w:t>(</w:t>
      </w:r>
      <w:r w:rsidR="001E73E5" w:rsidRPr="00CE1D35">
        <w:t>Appendix 1</w:t>
      </w:r>
      <w:r w:rsidR="000E7314" w:rsidRPr="00CE1D35">
        <w:t>)</w:t>
      </w:r>
      <w:r w:rsidR="00532DA9" w:rsidRPr="00CE1D35">
        <w:rPr>
          <w:szCs w:val="24"/>
        </w:rPr>
        <w:t xml:space="preserve">, contributing to </w:t>
      </w:r>
      <w:r w:rsidR="00191E08" w:rsidRPr="00CE1D35">
        <w:rPr>
          <w:szCs w:val="24"/>
        </w:rPr>
        <w:t xml:space="preserve">concerns for balanced development in the region (Box </w:t>
      </w:r>
      <w:r w:rsidR="00CE1D35" w:rsidRPr="00CE1D35">
        <w:rPr>
          <w:szCs w:val="24"/>
        </w:rPr>
        <w:t>1</w:t>
      </w:r>
      <w:r w:rsidR="00191E08" w:rsidRPr="00CE1D35">
        <w:rPr>
          <w:szCs w:val="24"/>
        </w:rPr>
        <w:t>).</w:t>
      </w:r>
    </w:p>
    <w:p w14:paraId="0108C15B" w14:textId="1B6EB003" w:rsidR="00F2200C" w:rsidRPr="00CE1D35" w:rsidRDefault="001A3736" w:rsidP="001A3736">
      <w:r w:rsidRPr="00CE1D35">
        <w:t xml:space="preserve">The UKFS needs to recognise the potential for significant impact on ‘People’ of the current scale of change. Factors affecting impact include size and species composition, but also proximity to communities, effect on locally valued places and ‘sense of place’. </w:t>
      </w:r>
      <w:r w:rsidR="00EC23D7" w:rsidRPr="00CE1D35">
        <w:t>UKFS 2017 refers to t</w:t>
      </w:r>
      <w:r w:rsidR="005F063B" w:rsidRPr="00CE1D35">
        <w:t xml:space="preserve">he value of local knowledge in the context of forest management but omits to mention its value in the context of new planting, for example. </w:t>
      </w:r>
    </w:p>
    <w:p w14:paraId="10F53A30" w14:textId="4E3AF476" w:rsidR="001A3736" w:rsidRPr="00CE1D35" w:rsidRDefault="001A3736" w:rsidP="00C0026F">
      <w:r w:rsidRPr="00CE1D35">
        <w:t>The UKFS must expect forest management and new planting to acknowledge and work with these impacts</w:t>
      </w:r>
      <w:r w:rsidR="003E0FBD" w:rsidRPr="00CE1D35">
        <w:t xml:space="preserve"> where they occur. </w:t>
      </w:r>
      <w:r w:rsidR="00F2200C" w:rsidRPr="00CE1D35">
        <w:t xml:space="preserve">It must also therefore find </w:t>
      </w:r>
      <w:r w:rsidR="00D4453E" w:rsidRPr="00CE1D35">
        <w:t xml:space="preserve">better ways of identifying the sensitive cases in order to avoid an undue burden on the simpler </w:t>
      </w:r>
      <w:r w:rsidR="003D499C" w:rsidRPr="00CE1D35">
        <w:t xml:space="preserve">and small scale cases. </w:t>
      </w:r>
    </w:p>
    <w:p w14:paraId="1EF86479" w14:textId="371BF851" w:rsidR="00716A8A" w:rsidRPr="00CE1D35" w:rsidRDefault="00191E08" w:rsidP="00BE7A09">
      <w:pPr>
        <w:pBdr>
          <w:top w:val="single" w:sz="4" w:space="1" w:color="auto"/>
          <w:left w:val="single" w:sz="4" w:space="4" w:color="auto"/>
          <w:bottom w:val="single" w:sz="4" w:space="1" w:color="auto"/>
          <w:right w:val="single" w:sz="4" w:space="4" w:color="auto"/>
        </w:pBdr>
        <w:rPr>
          <w:b/>
          <w:bCs/>
          <w:shd w:val="clear" w:color="auto" w:fill="auto"/>
        </w:rPr>
      </w:pPr>
      <w:r w:rsidRPr="00CE1D35">
        <w:rPr>
          <w:b/>
          <w:bCs/>
          <w:shd w:val="clear" w:color="auto" w:fill="auto"/>
        </w:rPr>
        <w:t xml:space="preserve">Box </w:t>
      </w:r>
      <w:r w:rsidR="00CE1D35" w:rsidRPr="00CE1D35">
        <w:rPr>
          <w:b/>
          <w:bCs/>
          <w:shd w:val="clear" w:color="auto" w:fill="auto"/>
        </w:rPr>
        <w:t>1</w:t>
      </w:r>
      <w:r w:rsidRPr="00CE1D35">
        <w:rPr>
          <w:b/>
          <w:bCs/>
          <w:shd w:val="clear" w:color="auto" w:fill="auto"/>
        </w:rPr>
        <w:t xml:space="preserve">. </w:t>
      </w:r>
      <w:r w:rsidR="00716A8A" w:rsidRPr="00CE1D35">
        <w:rPr>
          <w:b/>
          <w:bCs/>
          <w:shd w:val="clear" w:color="auto" w:fill="auto"/>
        </w:rPr>
        <w:t>extract from Southern Upland Partnership’s position statement on forestry</w:t>
      </w:r>
    </w:p>
    <w:p w14:paraId="3C15DB5A" w14:textId="77777777" w:rsidR="00716A8A" w:rsidRPr="00CE1D35" w:rsidRDefault="008863B4" w:rsidP="00BE7A09">
      <w:pPr>
        <w:pBdr>
          <w:top w:val="single" w:sz="4" w:space="1" w:color="auto"/>
          <w:left w:val="single" w:sz="4" w:space="4" w:color="auto"/>
          <w:bottom w:val="single" w:sz="4" w:space="1" w:color="auto"/>
          <w:right w:val="single" w:sz="4" w:space="4" w:color="auto"/>
        </w:pBdr>
        <w:rPr>
          <w:shd w:val="clear" w:color="auto" w:fill="auto"/>
        </w:rPr>
      </w:pPr>
      <w:r w:rsidRPr="00CE1D35">
        <w:rPr>
          <w:shd w:val="clear" w:color="auto" w:fill="auto"/>
        </w:rPr>
        <w:t xml:space="preserve">There is currently a major and rapid shift in </w:t>
      </w:r>
      <w:proofErr w:type="spellStart"/>
      <w:r w:rsidRPr="00CE1D35">
        <w:rPr>
          <w:shd w:val="clear" w:color="auto" w:fill="auto"/>
        </w:rPr>
        <w:t>landuse</w:t>
      </w:r>
      <w:proofErr w:type="spellEnd"/>
      <w:r w:rsidRPr="00CE1D35">
        <w:rPr>
          <w:shd w:val="clear" w:color="auto" w:fill="auto"/>
        </w:rPr>
        <w:t xml:space="preserve"> taking place across Southern Scotland. This is being driven by a combination of public grant, economics and assumed environmental benefits. We believe this change is not being as carefully considered as it should be. We risk losing a range of habitats, species and opportunities for a more diverse pattern of </w:t>
      </w:r>
      <w:proofErr w:type="spellStart"/>
      <w:r w:rsidRPr="00CE1D35">
        <w:rPr>
          <w:shd w:val="clear" w:color="auto" w:fill="auto"/>
        </w:rPr>
        <w:t>landuse</w:t>
      </w:r>
      <w:proofErr w:type="spellEnd"/>
      <w:r w:rsidRPr="00CE1D35">
        <w:rPr>
          <w:shd w:val="clear" w:color="auto" w:fill="auto"/>
        </w:rPr>
        <w:t xml:space="preserve"> that might improve community and environmental resilience. </w:t>
      </w:r>
    </w:p>
    <w:p w14:paraId="0BCEC899" w14:textId="30E0D345" w:rsidR="008863B4" w:rsidRPr="00CE1D35" w:rsidRDefault="008863B4" w:rsidP="00BE7A09">
      <w:pPr>
        <w:pBdr>
          <w:top w:val="single" w:sz="4" w:space="1" w:color="auto"/>
          <w:left w:val="single" w:sz="4" w:space="4" w:color="auto"/>
          <w:bottom w:val="single" w:sz="4" w:space="1" w:color="auto"/>
          <w:right w:val="single" w:sz="4" w:space="4" w:color="auto"/>
        </w:pBdr>
        <w:rPr>
          <w:shd w:val="clear" w:color="auto" w:fill="auto"/>
        </w:rPr>
      </w:pPr>
      <w:r w:rsidRPr="00CE1D35">
        <w:rPr>
          <w:shd w:val="clear" w:color="auto" w:fill="auto"/>
        </w:rPr>
        <w:t>(SUP 2021)</w:t>
      </w:r>
    </w:p>
    <w:p w14:paraId="210CF1D2" w14:textId="1DAF2B71" w:rsidR="007F1D0C" w:rsidRPr="00CE1D35" w:rsidRDefault="001C2C28" w:rsidP="00902DCE">
      <w:pPr>
        <w:pStyle w:val="Heading2"/>
      </w:pPr>
      <w:bookmarkStart w:id="3" w:name="_Toc93249679"/>
      <w:r w:rsidRPr="00CE1D35">
        <w:rPr>
          <w:rStyle w:val="Heading2Char"/>
        </w:rPr>
        <w:t>UKFS must be supported with clear guidance for regulators</w:t>
      </w:r>
      <w:r w:rsidRPr="00CE1D35">
        <w:t xml:space="preserve"> </w:t>
      </w:r>
      <w:bookmarkEnd w:id="3"/>
      <w:r w:rsidR="001A3867" w:rsidRPr="00CE1D35">
        <w:t>and help to improve compliance</w:t>
      </w:r>
    </w:p>
    <w:p w14:paraId="6465B822" w14:textId="5FC7BE21" w:rsidR="001C2C28" w:rsidRPr="00CE1D35" w:rsidRDefault="001C2C28" w:rsidP="009F4A16">
      <w:pPr>
        <w:rPr>
          <w:lang w:eastAsia="en-GB"/>
        </w:rPr>
      </w:pPr>
      <w:r w:rsidRPr="00CE1D35">
        <w:rPr>
          <w:lang w:eastAsia="en-GB"/>
        </w:rPr>
        <w:t xml:space="preserve">The UKFS applies to all forestry activity, whether or not it is the subject of an application for grant, plan approval or felling permission. </w:t>
      </w:r>
    </w:p>
    <w:p w14:paraId="6C8E994F" w14:textId="48FC640A" w:rsidR="001C2C28" w:rsidRPr="00CE1D35" w:rsidRDefault="001C2C28" w:rsidP="009F4A16">
      <w:pPr>
        <w:rPr>
          <w:lang w:eastAsia="en-GB"/>
        </w:rPr>
      </w:pPr>
      <w:r w:rsidRPr="00CE1D35">
        <w:rPr>
          <w:lang w:eastAsia="en-GB"/>
        </w:rPr>
        <w:t xml:space="preserve">However, in practice, it is only when land owners make grant applications (or seek approval for non-grant aided planting projects), submit forest plans or apply for felling permissions/licences that an assessment against UKFS occurs: thus most of the issues around the implementation of UKFS arise </w:t>
      </w:r>
      <w:r w:rsidR="009F0FA0" w:rsidRPr="00CE1D35">
        <w:rPr>
          <w:lang w:eastAsia="en-GB"/>
        </w:rPr>
        <w:t>in conjunction with such applic</w:t>
      </w:r>
      <w:r w:rsidRPr="00CE1D35">
        <w:rPr>
          <w:lang w:eastAsia="en-GB"/>
        </w:rPr>
        <w:t>ations.</w:t>
      </w:r>
    </w:p>
    <w:p w14:paraId="4DBC8B8E" w14:textId="77777777" w:rsidR="001A3867" w:rsidRPr="00CE1D35" w:rsidRDefault="001A3867" w:rsidP="009F4A16">
      <w:r w:rsidRPr="00CE1D35">
        <w:t xml:space="preserve">Responses to the first round of consultation highlighted difficulties with monitoring compliance. When SEPA conducted a study of UKFS compliance in south Scotland they found 26% of forestry sites were non-compliant, assessing only those criteria relevant to SEPA (drainage and pollution) (SEPA, 2020). </w:t>
      </w:r>
    </w:p>
    <w:p w14:paraId="33CB1ED1" w14:textId="0E254B5C" w:rsidR="00AF5034" w:rsidRPr="00CE1D35" w:rsidRDefault="001C2C28" w:rsidP="009F4A16">
      <w:pPr>
        <w:rPr>
          <w:lang w:eastAsia="en-GB"/>
        </w:rPr>
      </w:pPr>
      <w:r w:rsidRPr="00CE1D35">
        <w:rPr>
          <w:lang w:eastAsia="en-GB"/>
        </w:rPr>
        <w:t xml:space="preserve">We recognise that regulators </w:t>
      </w:r>
      <w:r w:rsidR="00ED049B" w:rsidRPr="00CE1D35">
        <w:rPr>
          <w:lang w:eastAsia="en-GB"/>
        </w:rPr>
        <w:t xml:space="preserve">have an increasing workload, and are often </w:t>
      </w:r>
      <w:r w:rsidRPr="00CE1D35">
        <w:rPr>
          <w:lang w:eastAsia="en-GB"/>
        </w:rPr>
        <w:t xml:space="preserve">under substantial political pressure to expedite applications. Our comments are therefore intended to strengthen the hand of regulators and ensure that both the letter and spirit of UKFS are met by forestry proposals. Additionally, providing clearer guidance on the interpretation of UKFS requirements should help landowners and forest managers to design and submit better proposals. </w:t>
      </w:r>
    </w:p>
    <w:p w14:paraId="4126E183" w14:textId="16B45301" w:rsidR="00284499" w:rsidRPr="00CE1D35" w:rsidRDefault="00AF5034" w:rsidP="009F4A16">
      <w:pPr>
        <w:rPr>
          <w:lang w:eastAsia="en-GB"/>
        </w:rPr>
      </w:pPr>
      <w:r w:rsidRPr="00CE1D35">
        <w:rPr>
          <w:lang w:eastAsia="en-GB"/>
        </w:rPr>
        <w:t>Better proposals with increased community support are in everyone’s interest and will reduce time and workload for both land managers a</w:t>
      </w:r>
      <w:r w:rsidR="00D3630E" w:rsidRPr="00CE1D35">
        <w:rPr>
          <w:lang w:eastAsia="en-GB"/>
        </w:rPr>
        <w:t>n</w:t>
      </w:r>
      <w:r w:rsidRPr="00CE1D35">
        <w:rPr>
          <w:lang w:eastAsia="en-GB"/>
        </w:rPr>
        <w:t>d regu</w:t>
      </w:r>
      <w:r w:rsidR="00D3630E" w:rsidRPr="00CE1D35">
        <w:rPr>
          <w:lang w:eastAsia="en-GB"/>
        </w:rPr>
        <w:t>la</w:t>
      </w:r>
      <w:r w:rsidRPr="00CE1D35">
        <w:rPr>
          <w:lang w:eastAsia="en-GB"/>
        </w:rPr>
        <w:t>tors</w:t>
      </w:r>
      <w:r w:rsidR="006D3BE6">
        <w:rPr>
          <w:lang w:eastAsia="en-GB"/>
        </w:rPr>
        <w:t>.</w:t>
      </w:r>
    </w:p>
    <w:p w14:paraId="3CE38BD4" w14:textId="236739A8" w:rsidR="00D3630E" w:rsidRPr="00CE1D35" w:rsidRDefault="00D3630E" w:rsidP="00D3630E">
      <w:pPr>
        <w:pStyle w:val="Heading2"/>
      </w:pPr>
      <w:r w:rsidRPr="00CE1D35">
        <w:lastRenderedPageBreak/>
        <w:t xml:space="preserve">Need for improved clarity </w:t>
      </w:r>
      <w:r w:rsidR="009122C6" w:rsidRPr="00CE1D35">
        <w:t xml:space="preserve">and </w:t>
      </w:r>
      <w:r w:rsidRPr="00CE1D35">
        <w:t xml:space="preserve">terminology </w:t>
      </w:r>
      <w:r w:rsidR="009122C6" w:rsidRPr="00CE1D35">
        <w:t>on ‘</w:t>
      </w:r>
      <w:r w:rsidR="00902DCE" w:rsidRPr="00CE1D35">
        <w:t>Consultation</w:t>
      </w:r>
      <w:r w:rsidR="009122C6" w:rsidRPr="00CE1D35">
        <w:t>’</w:t>
      </w:r>
    </w:p>
    <w:p w14:paraId="00781F0F" w14:textId="30F43AE5" w:rsidR="00D3630E" w:rsidRPr="00CE1D35" w:rsidRDefault="00D3630E" w:rsidP="00D3630E">
      <w:r w:rsidRPr="00CE1D35">
        <w:t xml:space="preserve">We agree with </w:t>
      </w:r>
      <w:proofErr w:type="spellStart"/>
      <w:r w:rsidRPr="00CE1D35">
        <w:t>Confor</w:t>
      </w:r>
      <w:r w:rsidR="00351E72" w:rsidRPr="00CE1D35">
        <w:t>’s</w:t>
      </w:r>
      <w:proofErr w:type="spellEnd"/>
      <w:r w:rsidRPr="00CE1D35">
        <w:t xml:space="preserve"> </w:t>
      </w:r>
      <w:r w:rsidR="009051C6" w:rsidRPr="00CE1D35">
        <w:t>statement</w:t>
      </w:r>
      <w:r w:rsidRPr="00CE1D35">
        <w:t xml:space="preserve">: </w:t>
      </w:r>
    </w:p>
    <w:p w14:paraId="1B4C2A2A" w14:textId="77777777" w:rsidR="00D3630E" w:rsidRPr="00CE1D35" w:rsidRDefault="00D3630E" w:rsidP="00D3630E">
      <w:pPr>
        <w:pStyle w:val="ListParagraph"/>
        <w:numPr>
          <w:ilvl w:val="0"/>
          <w:numId w:val="20"/>
        </w:numPr>
      </w:pPr>
      <w:r w:rsidRPr="00CE1D35">
        <w:t xml:space="preserve">The UKFS should be the bedrock for consultation, with foresters and stakeholders agreeing to work to set time scales within the Standard. </w:t>
      </w:r>
    </w:p>
    <w:p w14:paraId="53FA4B13" w14:textId="5F23DDB4" w:rsidR="00D3630E" w:rsidRPr="00CE1D35" w:rsidRDefault="00D3630E" w:rsidP="00D3630E">
      <w:pPr>
        <w:pStyle w:val="ListParagraph"/>
        <w:numPr>
          <w:ilvl w:val="0"/>
          <w:numId w:val="20"/>
        </w:numPr>
      </w:pPr>
      <w:r w:rsidRPr="00CE1D35">
        <w:t xml:space="preserve">Consultation periods should be clear and respected by everyone involved with it. </w:t>
      </w:r>
      <w:r w:rsidR="009051C6" w:rsidRPr="00CE1D35">
        <w:t>(Confor, 2021)</w:t>
      </w:r>
    </w:p>
    <w:p w14:paraId="11F0C1F7" w14:textId="37A26755" w:rsidR="00902DCE" w:rsidRPr="00CE1D35" w:rsidRDefault="00902DCE" w:rsidP="00D3630E">
      <w:r w:rsidRPr="00CE1D35">
        <w:t>However</w:t>
      </w:r>
      <w:r w:rsidR="00D3630E" w:rsidRPr="00CE1D35">
        <w:t xml:space="preserve"> UKFS does not currently specify any consultation requirement, and is vague and muddled on the reasons for involvement of different groups including local communities, communities of interest, and local experts. </w:t>
      </w:r>
    </w:p>
    <w:p w14:paraId="703723B6" w14:textId="0912AA27" w:rsidR="00902DCE" w:rsidRPr="00CE1D35" w:rsidRDefault="00902DCE" w:rsidP="00902DCE">
      <w:pPr>
        <w:pStyle w:val="Heading2"/>
      </w:pPr>
      <w:r w:rsidRPr="00CE1D35">
        <w:t xml:space="preserve">Need for improved clarity </w:t>
      </w:r>
      <w:r w:rsidR="009122C6" w:rsidRPr="00CE1D35">
        <w:t>and</w:t>
      </w:r>
      <w:r w:rsidRPr="00CE1D35">
        <w:t xml:space="preserve"> terminology </w:t>
      </w:r>
      <w:r w:rsidR="009122C6" w:rsidRPr="00CE1D35">
        <w:t xml:space="preserve">on </w:t>
      </w:r>
      <w:r w:rsidRPr="00CE1D35">
        <w:t xml:space="preserve">‘People’ </w:t>
      </w:r>
    </w:p>
    <w:p w14:paraId="730E7D81" w14:textId="46B3B18A" w:rsidR="00D3630E" w:rsidRPr="00CE1D35" w:rsidRDefault="00D3630E" w:rsidP="00D3630E">
      <w:r w:rsidRPr="00CE1D35">
        <w:t xml:space="preserve">There is little recognition </w:t>
      </w:r>
      <w:r w:rsidR="003514D0" w:rsidRPr="00CE1D35">
        <w:t xml:space="preserve">in UKFS 2017 </w:t>
      </w:r>
      <w:r w:rsidRPr="00CE1D35">
        <w:t xml:space="preserve">that ‘people’ are more than local communities. ‘People’ include communities of place, communities of interest, stakeholders, and experts. </w:t>
      </w:r>
      <w:r w:rsidR="00B348D1" w:rsidRPr="00CE1D35">
        <w:t>But</w:t>
      </w:r>
      <w:r w:rsidR="005C1449" w:rsidRPr="00CE1D35">
        <w:t>, for example,</w:t>
      </w:r>
      <w:r w:rsidRPr="00CE1D35">
        <w:t xml:space="preserve"> UKFS 2017 mentions the word ‘stakeholders’ only three times, none of them requiring mandatory action. </w:t>
      </w:r>
    </w:p>
    <w:p w14:paraId="76C3BB55" w14:textId="08E26A24" w:rsidR="00D3630E" w:rsidRPr="00CE1D35" w:rsidRDefault="00D3630E" w:rsidP="007F1D0C">
      <w:r w:rsidRPr="00CE1D35">
        <w:t>The characterisation of community benefits from woodlands in UKFS</w:t>
      </w:r>
      <w:r w:rsidR="005C1449" w:rsidRPr="00CE1D35">
        <w:t xml:space="preserve"> also</w:t>
      </w:r>
      <w:r w:rsidRPr="00CE1D35">
        <w:t xml:space="preserve"> needs some updating to address patronising language. For example</w:t>
      </w:r>
      <w:r w:rsidR="003873D5" w:rsidRPr="00CE1D35">
        <w:t xml:space="preserve">, UKFS 2017 states </w:t>
      </w:r>
      <w:r w:rsidRPr="00CE1D35">
        <w:t>‘In some parts of the UK there are successful examples where forest land has been made available for community leasing or outright ownership.’ Even in 2017 when this was published, it was out-of-date. Community ownership is a result of community empowerment, not landowner or government largesse. Community ownership and management is a policy priority in all the nations of the UKFS.</w:t>
      </w:r>
    </w:p>
    <w:p w14:paraId="7F898F00" w14:textId="77777777" w:rsidR="007F1D0C" w:rsidRPr="00CE1D35" w:rsidRDefault="007F1D0C" w:rsidP="00D008F1">
      <w:pPr>
        <w:pStyle w:val="Heading2"/>
      </w:pPr>
      <w:bookmarkStart w:id="4" w:name="_Toc93249680"/>
      <w:r w:rsidRPr="00CE1D35">
        <w:t>Evidence base</w:t>
      </w:r>
      <w:bookmarkEnd w:id="4"/>
    </w:p>
    <w:p w14:paraId="40B2346E" w14:textId="77777777" w:rsidR="007F1D0C" w:rsidRPr="00CE1D35" w:rsidRDefault="007F1D0C" w:rsidP="007F1D0C">
      <w:r w:rsidRPr="00CE1D35">
        <w:t xml:space="preserve">The industry has stated, in its response to the first consultation round: </w:t>
      </w:r>
    </w:p>
    <w:p w14:paraId="0F9249EA" w14:textId="77777777" w:rsidR="007F1D0C" w:rsidRPr="00CE1D35" w:rsidRDefault="007F1D0C" w:rsidP="00D008F1">
      <w:pPr>
        <w:ind w:left="720"/>
      </w:pPr>
      <w:r w:rsidRPr="00CE1D35">
        <w:t>Confor members believe, that in recent years, the amount of anecdotal evidence from stakeholders preventing forest operations has massively increased. Stakeholders have a right to be heard but should not be able to unduly, and without robust evidence, prevent or change forest operations that affect the viability of projects. (Confor, 2021)</w:t>
      </w:r>
    </w:p>
    <w:p w14:paraId="63C8A5A0" w14:textId="378D6731" w:rsidR="00BC0421" w:rsidRPr="00CE1D35" w:rsidRDefault="00BB52FC" w:rsidP="007F1D0C">
      <w:r w:rsidRPr="00CE1D35">
        <w:t>C</w:t>
      </w:r>
      <w:r w:rsidR="003514D0" w:rsidRPr="00CE1D35">
        <w:t>laims and counter-claims</w:t>
      </w:r>
      <w:r w:rsidR="00C45010" w:rsidRPr="00CE1D35">
        <w:t xml:space="preserve"> of ‘anecdotal evidence’</w:t>
      </w:r>
      <w:r w:rsidRPr="00CE1D35">
        <w:t xml:space="preserve"> are unhelpful</w:t>
      </w:r>
      <w:r w:rsidR="00C45010" w:rsidRPr="00CE1D35">
        <w:t>.</w:t>
      </w:r>
      <w:r w:rsidR="007F1D0C" w:rsidRPr="00CE1D35">
        <w:t xml:space="preserve"> Complaints of unreasonable delays need to be backed up, and reasons explored. </w:t>
      </w:r>
      <w:r w:rsidR="00BC0421" w:rsidRPr="00CE1D35">
        <w:t xml:space="preserve">Equally, it would be wrong to dismiss </w:t>
      </w:r>
      <w:r w:rsidRPr="00CE1D35">
        <w:t xml:space="preserve">as ‘anecdotal’ </w:t>
      </w:r>
      <w:r w:rsidR="00BC0421" w:rsidRPr="00CE1D35">
        <w:t xml:space="preserve">real experiences of conflict, loss of valued local </w:t>
      </w:r>
      <w:r w:rsidR="002E7F3E" w:rsidRPr="00CE1D35">
        <w:t xml:space="preserve">qualities of place, missed opportunities for local engagement and development, and </w:t>
      </w:r>
      <w:r w:rsidR="00BC0421" w:rsidRPr="00CE1D35">
        <w:t>unnecessary waste of community and public resources.</w:t>
      </w:r>
      <w:r w:rsidR="002E7F3E" w:rsidRPr="00CE1D35">
        <w:t xml:space="preserve"> A proper review of experiences is need, which takes into account sustainability in the round.</w:t>
      </w:r>
      <w:r w:rsidRPr="00CE1D35">
        <w:t xml:space="preserve"> </w:t>
      </w:r>
    </w:p>
    <w:p w14:paraId="4E6634AD" w14:textId="7305EBCB" w:rsidR="007F1D0C" w:rsidRPr="00CE1D35" w:rsidRDefault="00170521" w:rsidP="007F1D0C">
      <w:r w:rsidRPr="00CE1D35">
        <w:t>This paper draws on repeatedly observed patterns</w:t>
      </w:r>
      <w:r w:rsidR="00BB52FC" w:rsidRPr="00CE1D35">
        <w:t xml:space="preserve"> of experience</w:t>
      </w:r>
      <w:r w:rsidRPr="00CE1D35">
        <w:t>, not on isolated anecdote. It also draws on a number of published reports</w:t>
      </w:r>
      <w:r w:rsidR="00C04B23" w:rsidRPr="00CE1D35">
        <w:t xml:space="preserve"> which are listed in the References section below</w:t>
      </w:r>
      <w:r w:rsidRPr="00CE1D35">
        <w:t xml:space="preserve">, and an on-going </w:t>
      </w:r>
      <w:r w:rsidR="00C04B23" w:rsidRPr="00CE1D35">
        <w:t>scoping study which is gathering accounts of community experiences of forestry proposals.</w:t>
      </w:r>
    </w:p>
    <w:p w14:paraId="786B1A2D" w14:textId="5436BFF8" w:rsidR="00305BFF" w:rsidRPr="00CE1D35" w:rsidRDefault="00305BFF" w:rsidP="00305BFF">
      <w:pPr>
        <w:pStyle w:val="Heading2"/>
      </w:pPr>
      <w:r w:rsidRPr="00CE1D35">
        <w:t>Scotland focus</w:t>
      </w:r>
    </w:p>
    <w:p w14:paraId="5D165DAA" w14:textId="77777777" w:rsidR="00AB1107" w:rsidRPr="00CE1D35" w:rsidRDefault="0021562E" w:rsidP="00305BFF">
      <w:r w:rsidRPr="00CE1D35">
        <w:t>We have written this paper</w:t>
      </w:r>
      <w:r w:rsidR="00721340" w:rsidRPr="00CE1D35">
        <w:t xml:space="preserve"> specifically in response to experiences, </w:t>
      </w:r>
      <w:r w:rsidR="00BF38C9" w:rsidRPr="00CE1D35">
        <w:t xml:space="preserve">concerns and tensions in Scotland. We believe that many of these issues apply across the UK, and highlight the need for the UKFS to address the </w:t>
      </w:r>
      <w:r w:rsidR="00827341" w:rsidRPr="00CE1D35">
        <w:t>context</w:t>
      </w:r>
      <w:r w:rsidR="00BF38C9" w:rsidRPr="00CE1D35">
        <w:t xml:space="preserve"> of increasing competition and tensions </w:t>
      </w:r>
      <w:r w:rsidR="00827341" w:rsidRPr="00CE1D35">
        <w:t>between</w:t>
      </w:r>
      <w:r w:rsidR="00BF38C9" w:rsidRPr="00CE1D35">
        <w:t xml:space="preserve"> land uses</w:t>
      </w:r>
      <w:r w:rsidR="001A7B5A" w:rsidRPr="00CE1D35">
        <w:t xml:space="preserve"> as the ‘standard’ of sustainable forestry applies across the UK</w:t>
      </w:r>
      <w:r w:rsidR="00827341" w:rsidRPr="00CE1D35">
        <w:t xml:space="preserve">. </w:t>
      </w:r>
    </w:p>
    <w:p w14:paraId="5F521C11" w14:textId="7D291F7F" w:rsidR="00563292" w:rsidRPr="00CE1D35" w:rsidRDefault="00563292" w:rsidP="00305BFF">
      <w:r w:rsidRPr="00CE1D35">
        <w:t xml:space="preserve">The Scottish </w:t>
      </w:r>
      <w:r w:rsidR="00142700" w:rsidRPr="00CE1D35">
        <w:t>Forestry Grant Scheme (</w:t>
      </w:r>
      <w:r w:rsidRPr="00CE1D35">
        <w:t>FGS</w:t>
      </w:r>
      <w:r w:rsidR="00142700" w:rsidRPr="00CE1D35">
        <w:t>)</w:t>
      </w:r>
      <w:r w:rsidRPr="00CE1D35">
        <w:t xml:space="preserve"> expects much more of new planting applications than the </w:t>
      </w:r>
      <w:r w:rsidRPr="00CE1D35">
        <w:lastRenderedPageBreak/>
        <w:t>UKFS, in terms of consultation.</w:t>
      </w:r>
      <w:r w:rsidR="00BE7C00" w:rsidRPr="00CE1D35">
        <w:t xml:space="preserve"> Experience with that provides useful evidence of what the UKFS should be requiring</w:t>
      </w:r>
      <w:r w:rsidR="00C7788F" w:rsidRPr="00CE1D35">
        <w:t>, and of the need for better control of implementation</w:t>
      </w:r>
      <w:r w:rsidR="00BE7C00" w:rsidRPr="00CE1D35">
        <w:t xml:space="preserve">.  </w:t>
      </w:r>
    </w:p>
    <w:p w14:paraId="12F1CCF3" w14:textId="6C1DB4F7" w:rsidR="00BA136A" w:rsidRPr="00CE1D35" w:rsidRDefault="00AB1107" w:rsidP="00305BFF">
      <w:r w:rsidRPr="00CE1D35">
        <w:rPr>
          <w:rFonts w:eastAsia="Times New Roman"/>
        </w:rPr>
        <w:t>Furthermore,</w:t>
      </w:r>
      <w:r w:rsidR="00F3003C" w:rsidRPr="00CE1D35">
        <w:rPr>
          <w:rFonts w:eastAsia="Times New Roman"/>
        </w:rPr>
        <w:t xml:space="preserve"> the interpretation and implementation of UKFS must not be seen to hinder broader policy objectives.</w:t>
      </w:r>
      <w:r w:rsidRPr="00CE1D35">
        <w:rPr>
          <w:rFonts w:eastAsia="Times New Roman"/>
        </w:rPr>
        <w:t xml:space="preserve"> Implementation of UKFS 2017 </w:t>
      </w:r>
      <w:r w:rsidR="00A90201" w:rsidRPr="00CE1D35">
        <w:rPr>
          <w:rFonts w:eastAsia="Times New Roman"/>
        </w:rPr>
        <w:t xml:space="preserve">conflicts with these broader objectives. </w:t>
      </w:r>
      <w:r w:rsidR="00BA136A" w:rsidRPr="00CE1D35">
        <w:rPr>
          <w:rFonts w:eastAsia="Times New Roman"/>
        </w:rPr>
        <w:t>For example in Scotland</w:t>
      </w:r>
      <w:r w:rsidR="00BA136A" w:rsidRPr="00CE1D35">
        <w:t xml:space="preserve"> land managers are expected to operate in a social context which includes the Land Rights and Responsibilities Statement (currently being revised) </w:t>
      </w:r>
      <w:r w:rsidR="002B2403" w:rsidRPr="00CE1D35">
        <w:t>and Scottish Government commitment to</w:t>
      </w:r>
      <w:r w:rsidR="00BA136A" w:rsidRPr="00CE1D35">
        <w:t xml:space="preserve"> a just transition. The Just Transition Commission </w:t>
      </w:r>
      <w:r w:rsidR="00E74081" w:rsidRPr="00CE1D35">
        <w:t xml:space="preserve">is </w:t>
      </w:r>
      <w:r w:rsidR="00BA136A" w:rsidRPr="00CE1D35">
        <w:t xml:space="preserve">concerned </w:t>
      </w:r>
      <w:r w:rsidR="00E74081" w:rsidRPr="00CE1D35">
        <w:t xml:space="preserve">not only </w:t>
      </w:r>
      <w:r w:rsidR="00BA136A" w:rsidRPr="00CE1D35">
        <w:t>with mitigating injustices that arise because of climate change</w:t>
      </w:r>
      <w:r w:rsidR="00E74081" w:rsidRPr="00CE1D35">
        <w:t>,</w:t>
      </w:r>
      <w:r w:rsidR="00BA136A" w:rsidRPr="00CE1D35">
        <w:t xml:space="preserve"> but </w:t>
      </w:r>
      <w:r w:rsidR="00E74081" w:rsidRPr="00CE1D35">
        <w:t xml:space="preserve">also with </w:t>
      </w:r>
      <w:r w:rsidR="00BA136A" w:rsidRPr="00CE1D35">
        <w:t>taking opportunities to address existing inequalities</w:t>
      </w:r>
      <w:r w:rsidR="00E74081" w:rsidRPr="00CE1D35">
        <w:t xml:space="preserve">, </w:t>
      </w:r>
      <w:r w:rsidR="00BA136A" w:rsidRPr="00CE1D35">
        <w:t>using the transition to net-zero as a catalyst for building a fairer, healthier, greener country.</w:t>
      </w:r>
    </w:p>
    <w:p w14:paraId="41FF9E79" w14:textId="77777777" w:rsidR="007F1D0C" w:rsidRPr="00CE1D35" w:rsidRDefault="007F1D0C" w:rsidP="007F1D0C">
      <w:pPr>
        <w:pStyle w:val="Heading1"/>
      </w:pPr>
      <w:bookmarkStart w:id="5" w:name="_Toc93249681"/>
      <w:r w:rsidRPr="00CE1D35">
        <w:t>Involving local communities and stakeholders</w:t>
      </w:r>
      <w:bookmarkEnd w:id="5"/>
    </w:p>
    <w:p w14:paraId="066F68B1" w14:textId="77777777" w:rsidR="007F1D0C" w:rsidRPr="00CE1D35" w:rsidRDefault="007F1D0C" w:rsidP="007F1D0C">
      <w:pPr>
        <w:pStyle w:val="Heading2"/>
      </w:pPr>
      <w:bookmarkStart w:id="6" w:name="_Toc93249682"/>
      <w:r w:rsidRPr="00CE1D35">
        <w:t>Why ‘People’ are an issue</w:t>
      </w:r>
      <w:bookmarkEnd w:id="6"/>
    </w:p>
    <w:p w14:paraId="7B1014E1" w14:textId="58B19B9D" w:rsidR="007F1D0C" w:rsidRPr="00CE1D35" w:rsidRDefault="00745B22" w:rsidP="007F1D0C">
      <w:r w:rsidRPr="00CE1D35">
        <w:t xml:space="preserve">The </w:t>
      </w:r>
      <w:r w:rsidR="007F1D0C" w:rsidRPr="00CE1D35">
        <w:t xml:space="preserve">UKFS 2017 </w:t>
      </w:r>
      <w:r w:rsidRPr="00CE1D35">
        <w:t>states</w:t>
      </w:r>
      <w:r w:rsidR="007F1D0C" w:rsidRPr="00CE1D35">
        <w:t xml:space="preserve">: ‘The public is increasingly being encouraged to get involved in the decision-making processes of forest management and planning.’ This is a weak statement, and ignores the enormous impact that forestry can have on communities, and the benefits of ‘involvement’. </w:t>
      </w:r>
    </w:p>
    <w:p w14:paraId="0F694013" w14:textId="5796ED1E" w:rsidR="001A7A4C" w:rsidRPr="00CE1D35" w:rsidRDefault="001A7A4C" w:rsidP="001A7A4C">
      <w:pPr>
        <w:rPr>
          <w:color w:val="538135" w:themeColor="accent6" w:themeShade="BF"/>
          <w:sz w:val="20"/>
          <w:szCs w:val="20"/>
        </w:rPr>
      </w:pPr>
      <w:r w:rsidRPr="00CE1D35">
        <w:t xml:space="preserve">It </w:t>
      </w:r>
      <w:r w:rsidR="00745B22" w:rsidRPr="00CE1D35">
        <w:t>further states</w:t>
      </w:r>
      <w:r w:rsidRPr="00CE1D35">
        <w:t xml:space="preserve"> (p.98):</w:t>
      </w:r>
      <w:r w:rsidR="00745B22" w:rsidRPr="00CE1D35">
        <w:t xml:space="preserve"> ‘</w:t>
      </w:r>
      <w:r w:rsidRPr="00CE1D35">
        <w:t xml:space="preserve">The social dimension of forest planning is also an important consideration from the outset. For woodland that will be regularly used for recreation or is prominent in the landscape, community involvement in the planning process </w:t>
      </w:r>
      <w:r w:rsidRPr="00CE1D35">
        <w:rPr>
          <w:b/>
          <w:bCs/>
        </w:rPr>
        <w:t>will be a vital part</w:t>
      </w:r>
      <w:r w:rsidRPr="00CE1D35">
        <w:t xml:space="preserve"> of developing proposals (see Forests and People).</w:t>
      </w:r>
      <w:r w:rsidR="00745B22" w:rsidRPr="00CE1D35">
        <w:t>’</w:t>
      </w:r>
    </w:p>
    <w:p w14:paraId="32FDFFFD" w14:textId="3BBA372B" w:rsidR="007F1D0C" w:rsidRPr="00CE1D35" w:rsidRDefault="00842C62" w:rsidP="007F1D0C">
      <w:r w:rsidRPr="00CE1D35">
        <w:t xml:space="preserve">But this ‘vital part’ is not translated into a requirement. </w:t>
      </w:r>
      <w:r w:rsidR="007F1D0C" w:rsidRPr="00CE1D35">
        <w:t xml:space="preserve">A much more robust approach is needed, both to ensure that ‘People’ are properly included, and that forest managers have clarity, predictable timeframes and benefit from local knowledge and goodwill. </w:t>
      </w:r>
    </w:p>
    <w:p w14:paraId="55525750" w14:textId="6AD9BEC7" w:rsidR="007F1D0C" w:rsidRPr="00CE1D35" w:rsidRDefault="007F1D0C" w:rsidP="007F1D0C">
      <w:r w:rsidRPr="00CE1D35">
        <w:t xml:space="preserve">Foresters sometimes point out that farming land use does not require consultation. </w:t>
      </w:r>
      <w:r w:rsidR="000C0243" w:rsidRPr="00CE1D35">
        <w:t>But</w:t>
      </w:r>
      <w:r w:rsidRPr="00CE1D35">
        <w:t xml:space="preserve"> lack of precedent elsewhere is not an excuse for poor practice in forestry. In comparison, the requirements for windfarm planning are significantly </w:t>
      </w:r>
      <w:r w:rsidRPr="00CE1D35">
        <w:rPr>
          <w:i/>
          <w:iCs/>
        </w:rPr>
        <w:t xml:space="preserve">more </w:t>
      </w:r>
      <w:r w:rsidRPr="00CE1D35">
        <w:t xml:space="preserve">rigorous and require full transparency and sharing of information. </w:t>
      </w:r>
    </w:p>
    <w:p w14:paraId="69E6B394" w14:textId="77777777" w:rsidR="007F1D0C" w:rsidRPr="00CE1D35" w:rsidRDefault="007F1D0C" w:rsidP="007F1D0C">
      <w:pPr>
        <w:pStyle w:val="Heading2"/>
        <w:rPr>
          <w:rFonts w:eastAsia="Arial"/>
        </w:rPr>
      </w:pPr>
      <w:bookmarkStart w:id="7" w:name="_Toc93249683"/>
      <w:r w:rsidRPr="00CE1D35">
        <w:rPr>
          <w:rFonts w:eastAsia="Arial"/>
        </w:rPr>
        <w:t>Evidence of the issue</w:t>
      </w:r>
      <w:bookmarkEnd w:id="7"/>
    </w:p>
    <w:p w14:paraId="5284236F" w14:textId="7DD116EB" w:rsidR="007F1D0C" w:rsidRPr="00CE1D35" w:rsidRDefault="007F1D0C" w:rsidP="007F1D0C">
      <w:r w:rsidRPr="00CE1D35">
        <w:t xml:space="preserve">The SUP / BFT study concluded that across two community council areas of the Scottish Borders, communities had not been engaged constructively in new planting applications (Box </w:t>
      </w:r>
      <w:r w:rsidR="00CE1D35" w:rsidRPr="00CE1D35">
        <w:t>2</w:t>
      </w:r>
      <w:r w:rsidRPr="00CE1D35">
        <w:t xml:space="preserve">). </w:t>
      </w:r>
    </w:p>
    <w:p w14:paraId="32503E07" w14:textId="35EE067E" w:rsidR="007F1D0C" w:rsidRPr="00CE1D35" w:rsidRDefault="007F1D0C" w:rsidP="007F1D0C">
      <w:pPr>
        <w:pBdr>
          <w:top w:val="single" w:sz="4" w:space="1" w:color="auto"/>
          <w:left w:val="single" w:sz="4" w:space="1" w:color="auto"/>
          <w:bottom w:val="single" w:sz="4" w:space="1" w:color="auto"/>
          <w:right w:val="single" w:sz="4" w:space="1" w:color="auto"/>
        </w:pBdr>
        <w:rPr>
          <w:b/>
          <w:bCs/>
        </w:rPr>
      </w:pPr>
      <w:r w:rsidRPr="00CE1D35">
        <w:rPr>
          <w:b/>
          <w:bCs/>
        </w:rPr>
        <w:t xml:space="preserve">Box </w:t>
      </w:r>
      <w:r w:rsidR="00CE1D35" w:rsidRPr="00CE1D35">
        <w:rPr>
          <w:b/>
          <w:bCs/>
        </w:rPr>
        <w:t>2</w:t>
      </w:r>
      <w:r w:rsidRPr="00CE1D35">
        <w:rPr>
          <w:b/>
          <w:bCs/>
        </w:rPr>
        <w:t xml:space="preserve">. Extract from Section 4.2 of the SUP / BFT study: </w:t>
      </w:r>
    </w:p>
    <w:p w14:paraId="4B68712D" w14:textId="77777777" w:rsidR="007F1D0C" w:rsidRPr="00CE1D35" w:rsidRDefault="007F1D0C" w:rsidP="007F1D0C">
      <w:pPr>
        <w:pBdr>
          <w:top w:val="single" w:sz="4" w:space="1" w:color="auto"/>
          <w:left w:val="single" w:sz="4" w:space="1" w:color="auto"/>
          <w:bottom w:val="single" w:sz="4" w:space="1" w:color="auto"/>
          <w:right w:val="single" w:sz="4" w:space="1" w:color="auto"/>
        </w:pBdr>
      </w:pPr>
      <w:r w:rsidRPr="00CE1D35">
        <w:t>Early and meaningful engagement is key to making the current system work to best effect for all stakeholders. The aim is to reduce stress, conflict, uncertainty and wasted time and money. Community members and community councillors described problems with understanding how the application process for a new forestry scheme works, and pointed out that 28 days to respond does not fit with the cycle of Community Council meetings. They felt that meaningful involvement would require facilitation and it is accepted that resources are needed to generate significant interaction.</w:t>
      </w:r>
    </w:p>
    <w:p w14:paraId="00CAB500" w14:textId="77777777" w:rsidR="007F1D0C" w:rsidRPr="00CE1D35" w:rsidRDefault="007F1D0C" w:rsidP="007F1D0C">
      <w:pPr>
        <w:pBdr>
          <w:top w:val="single" w:sz="4" w:space="1" w:color="auto"/>
          <w:left w:val="single" w:sz="4" w:space="1" w:color="auto"/>
          <w:bottom w:val="single" w:sz="4" w:space="1" w:color="auto"/>
          <w:right w:val="single" w:sz="4" w:space="1" w:color="auto"/>
        </w:pBdr>
      </w:pPr>
      <w:r w:rsidRPr="00CE1D35">
        <w:t xml:space="preserve">While many local stakeholders feel side-lined in major land use change, </w:t>
      </w:r>
      <w:r w:rsidRPr="00CE1D35">
        <w:rPr>
          <w:b/>
          <w:bCs/>
        </w:rPr>
        <w:t>most are not opposed to woodland creation in the broader sense</w:t>
      </w:r>
      <w:r w:rsidRPr="00CE1D35">
        <w:t xml:space="preserve">. The study has identified local interest in creating </w:t>
      </w:r>
      <w:proofErr w:type="gramStart"/>
      <w:r w:rsidRPr="00CE1D35">
        <w:t>woodland</w:t>
      </w:r>
      <w:proofErr w:type="gramEnd"/>
      <w:r w:rsidRPr="00CE1D35">
        <w:t xml:space="preserve"> which is more diverse and suited to the landscape, rather than the current dominant model. </w:t>
      </w:r>
    </w:p>
    <w:p w14:paraId="7B8E78D1" w14:textId="77777777" w:rsidR="007F1D0C" w:rsidRPr="00CE1D35" w:rsidRDefault="007F1D0C" w:rsidP="007F1D0C">
      <w:pPr>
        <w:pBdr>
          <w:top w:val="single" w:sz="4" w:space="1" w:color="auto"/>
          <w:left w:val="single" w:sz="4" w:space="1" w:color="auto"/>
          <w:bottom w:val="single" w:sz="4" w:space="1" w:color="auto"/>
          <w:right w:val="single" w:sz="4" w:space="1" w:color="auto"/>
        </w:pBdr>
      </w:pPr>
      <w:r w:rsidRPr="00CE1D35">
        <w:t>[the section also includes specific proposals to address the problem]</w:t>
      </w:r>
    </w:p>
    <w:p w14:paraId="759644D9" w14:textId="36D5282F" w:rsidR="004860F8" w:rsidRPr="00CE1D35" w:rsidRDefault="00BF29EB" w:rsidP="004860F8">
      <w:r w:rsidRPr="00CE1D35">
        <w:lastRenderedPageBreak/>
        <w:t>Even under the</w:t>
      </w:r>
      <w:r w:rsidR="00E74081" w:rsidRPr="00CE1D35">
        <w:t xml:space="preserve"> more exacting</w:t>
      </w:r>
      <w:r w:rsidRPr="00CE1D35">
        <w:t xml:space="preserve"> </w:t>
      </w:r>
      <w:r w:rsidR="00533458" w:rsidRPr="00CE1D35">
        <w:t xml:space="preserve">consultation </w:t>
      </w:r>
      <w:r w:rsidRPr="00CE1D35">
        <w:t xml:space="preserve">requirements of the FGS, </w:t>
      </w:r>
      <w:r w:rsidR="00533458" w:rsidRPr="00CE1D35">
        <w:t>t</w:t>
      </w:r>
      <w:r w:rsidR="007F1D0C" w:rsidRPr="00CE1D35">
        <w:t>here are still many problems with implementation</w:t>
      </w:r>
      <w:r w:rsidR="00533458" w:rsidRPr="00CE1D35">
        <w:t xml:space="preserve">. Some patterns emerging in the </w:t>
      </w:r>
      <w:r w:rsidR="007F1D0C" w:rsidRPr="00CE1D35">
        <w:t xml:space="preserve">forthcoming study of community experiences </w:t>
      </w:r>
      <w:r w:rsidR="00533458" w:rsidRPr="00CE1D35">
        <w:t>are summarised in</w:t>
      </w:r>
      <w:r w:rsidR="007F1D0C" w:rsidRPr="00CE1D35">
        <w:t xml:space="preserve"> Box </w:t>
      </w:r>
      <w:r w:rsidR="00CE1D35" w:rsidRPr="00CE1D35">
        <w:t>3</w:t>
      </w:r>
      <w:r w:rsidR="007F1D0C" w:rsidRPr="00CE1D35">
        <w:t xml:space="preserve">. </w:t>
      </w:r>
    </w:p>
    <w:p w14:paraId="2E8B9D23" w14:textId="40E03D23" w:rsidR="004860F8" w:rsidRPr="00CE1D35" w:rsidRDefault="004860F8" w:rsidP="004860F8">
      <w:r w:rsidRPr="00CE1D35">
        <w:t xml:space="preserve">A resident-led group in Galloway has formed ‘Communities for Diverse Forestry’ in response to many of these problems. Achievements include the development of guidance for community councils responding to new planting applications. This has all been done in voluntary time, and meets with mixed attitudes from forestry agents. The group is campaigning to get these guidelines – or equivalent – agreed and distributed as standard practice. The group highlighted that sufficient </w:t>
      </w:r>
      <w:r w:rsidRPr="00CE1D35">
        <w:rPr>
          <w:i/>
          <w:iCs/>
        </w:rPr>
        <w:t xml:space="preserve">participatory </w:t>
      </w:r>
      <w:r w:rsidRPr="00CE1D35">
        <w:t xml:space="preserve">engagement is often difficult to achieve, and a culture of defensiveness in the industry is often evident from the outset, which can get conversations off on the wrong foot. </w:t>
      </w:r>
    </w:p>
    <w:p w14:paraId="0487A9D5" w14:textId="7CC70853" w:rsidR="007F1D0C" w:rsidRPr="00CE1D35" w:rsidRDefault="004860F8" w:rsidP="007F1D0C">
      <w:r w:rsidRPr="00CE1D35">
        <w:t xml:space="preserve">The current climate is exacerbated by a ‘top-down’ attitude of entitlement common among landowners and forest agents from some of the larger companies. Local residents do not lack relevant knowledge, and their values are not irrelevant; what they lack is an understanding of the forestry application system. This is perpetuated when forest managers and woodland agents are reluctant to carry out meaningful participatory engagement. </w:t>
      </w:r>
      <w:r w:rsidRPr="00CE1D35">
        <w:rPr>
          <w:rFonts w:ascii="Calibri" w:eastAsia="Arial" w:hAnsi="Calibri" w:cs="Calibri"/>
          <w:color w:val="000000"/>
        </w:rPr>
        <w:t xml:space="preserve"> </w:t>
      </w:r>
    </w:p>
    <w:p w14:paraId="638AFADD" w14:textId="275D133F" w:rsidR="007F1D0C" w:rsidRPr="00CE1D35" w:rsidRDefault="007F1D0C" w:rsidP="007F1D0C">
      <w:pPr>
        <w:pBdr>
          <w:top w:val="single" w:sz="4" w:space="1" w:color="auto"/>
          <w:left w:val="single" w:sz="4" w:space="4" w:color="auto"/>
          <w:bottom w:val="single" w:sz="4" w:space="1" w:color="auto"/>
          <w:right w:val="single" w:sz="4" w:space="4" w:color="auto"/>
        </w:pBdr>
        <w:rPr>
          <w:b/>
          <w:bCs/>
        </w:rPr>
      </w:pPr>
      <w:r w:rsidRPr="00CE1D35">
        <w:rPr>
          <w:b/>
          <w:bCs/>
        </w:rPr>
        <w:t xml:space="preserve">Box </w:t>
      </w:r>
      <w:r w:rsidR="00CE1D35" w:rsidRPr="00CE1D35">
        <w:rPr>
          <w:b/>
          <w:bCs/>
        </w:rPr>
        <w:t>3</w:t>
      </w:r>
      <w:r w:rsidRPr="00CE1D35">
        <w:rPr>
          <w:b/>
          <w:bCs/>
        </w:rPr>
        <w:t xml:space="preserve">. </w:t>
      </w:r>
      <w:r w:rsidR="00544DDB" w:rsidRPr="00CE1D35">
        <w:rPr>
          <w:b/>
          <w:bCs/>
        </w:rPr>
        <w:t>C</w:t>
      </w:r>
      <w:r w:rsidRPr="00CE1D35">
        <w:rPr>
          <w:b/>
          <w:bCs/>
        </w:rPr>
        <w:t xml:space="preserve">ommunity experiences of consultation in relation to new planting applications </w:t>
      </w:r>
      <w:r w:rsidR="008C2BB3" w:rsidRPr="00CE1D35">
        <w:rPr>
          <w:b/>
          <w:bCs/>
        </w:rPr>
        <w:t>under the Scottish Forestry Grant Scheme</w:t>
      </w:r>
    </w:p>
    <w:p w14:paraId="26C23F7A" w14:textId="77777777" w:rsidR="0082696B" w:rsidRPr="00CE1D35" w:rsidRDefault="0082696B" w:rsidP="0082696B">
      <w:pPr>
        <w:pStyle w:val="ListParagraph"/>
        <w:numPr>
          <w:ilvl w:val="0"/>
          <w:numId w:val="18"/>
        </w:numPr>
        <w:pBdr>
          <w:top w:val="single" w:sz="4" w:space="1" w:color="auto"/>
          <w:left w:val="single" w:sz="4" w:space="4" w:color="auto"/>
          <w:bottom w:val="single" w:sz="4" w:space="1" w:color="auto"/>
          <w:right w:val="single" w:sz="4" w:space="4" w:color="auto"/>
        </w:pBdr>
      </w:pPr>
      <w:r w:rsidRPr="00CE1D35">
        <w:t xml:space="preserve">Those involved are often </w:t>
      </w:r>
      <w:r w:rsidRPr="00CE1D35">
        <w:rPr>
          <w:b/>
          <w:bCs/>
        </w:rPr>
        <w:t>engaging in voluntary time</w:t>
      </w:r>
      <w:r w:rsidRPr="00CE1D35">
        <w:t xml:space="preserve"> and fitting it round their own work commitments and/or caring duties at home. Rather than treating local people as a problem, forestry needs to </w:t>
      </w:r>
      <w:r w:rsidRPr="00CE1D35">
        <w:rPr>
          <w:b/>
          <w:bCs/>
        </w:rPr>
        <w:t>value this input</w:t>
      </w:r>
      <w:r w:rsidRPr="00CE1D35">
        <w:t xml:space="preserve"> more. </w:t>
      </w:r>
    </w:p>
    <w:p w14:paraId="7F579284" w14:textId="77777777" w:rsidR="001A2759" w:rsidRPr="00CE1D35" w:rsidRDefault="001A2759" w:rsidP="001A2759">
      <w:pPr>
        <w:pStyle w:val="ListParagraph"/>
        <w:numPr>
          <w:ilvl w:val="0"/>
          <w:numId w:val="18"/>
        </w:numPr>
        <w:pBdr>
          <w:top w:val="single" w:sz="4" w:space="1" w:color="auto"/>
          <w:left w:val="single" w:sz="4" w:space="4" w:color="auto"/>
          <w:bottom w:val="single" w:sz="4" w:space="1" w:color="auto"/>
          <w:right w:val="single" w:sz="4" w:space="4" w:color="auto"/>
        </w:pBdr>
      </w:pPr>
      <w:r w:rsidRPr="00CE1D35">
        <w:t xml:space="preserve">For community groups the </w:t>
      </w:r>
      <w:r w:rsidRPr="00CE1D35">
        <w:rPr>
          <w:b/>
          <w:bCs/>
        </w:rPr>
        <w:t>process is often unclear</w:t>
      </w:r>
      <w:r w:rsidRPr="00CE1D35">
        <w:t>.</w:t>
      </w:r>
    </w:p>
    <w:p w14:paraId="65C6C9BF" w14:textId="041CD543" w:rsidR="007F1D0C" w:rsidRPr="00CE1D35" w:rsidRDefault="008C2BB3" w:rsidP="007F1D0C">
      <w:pPr>
        <w:pStyle w:val="ListParagraph"/>
        <w:numPr>
          <w:ilvl w:val="0"/>
          <w:numId w:val="18"/>
        </w:numPr>
        <w:pBdr>
          <w:top w:val="single" w:sz="4" w:space="1" w:color="auto"/>
          <w:left w:val="single" w:sz="4" w:space="4" w:color="auto"/>
          <w:bottom w:val="single" w:sz="4" w:space="1" w:color="auto"/>
          <w:right w:val="single" w:sz="4" w:space="4" w:color="auto"/>
        </w:pBdr>
      </w:pPr>
      <w:r w:rsidRPr="00CE1D35">
        <w:rPr>
          <w:b/>
          <w:bCs/>
        </w:rPr>
        <w:t>O</w:t>
      </w:r>
      <w:r w:rsidR="007F1D0C" w:rsidRPr="00CE1D35">
        <w:rPr>
          <w:b/>
          <w:bCs/>
        </w:rPr>
        <w:t>ne month for the consultation process at Public Register stage is too short</w:t>
      </w:r>
      <w:r w:rsidR="0082696B" w:rsidRPr="00CE1D35">
        <w:t>. P</w:t>
      </w:r>
      <w:r w:rsidR="007F1D0C" w:rsidRPr="00CE1D35">
        <w:t>eople can be coming completely new to a site and to the ideas proposed</w:t>
      </w:r>
      <w:r w:rsidRPr="00CE1D35">
        <w:t>, and o</w:t>
      </w:r>
      <w:r w:rsidR="007F1D0C" w:rsidRPr="00CE1D35">
        <w:t xml:space="preserve">ne month does not fit with the </w:t>
      </w:r>
      <w:r w:rsidRPr="00CE1D35">
        <w:t>cycle</w:t>
      </w:r>
      <w:r w:rsidR="007F1D0C" w:rsidRPr="00CE1D35">
        <w:t xml:space="preserve"> of Community Council meetings. </w:t>
      </w:r>
    </w:p>
    <w:p w14:paraId="0F1DAF3B" w14:textId="77777777" w:rsidR="00391381" w:rsidRPr="00CE1D35" w:rsidRDefault="007F1D0C" w:rsidP="00391381">
      <w:pPr>
        <w:pStyle w:val="ListParagraph"/>
        <w:numPr>
          <w:ilvl w:val="0"/>
          <w:numId w:val="18"/>
        </w:numPr>
        <w:pBdr>
          <w:top w:val="single" w:sz="4" w:space="1" w:color="auto"/>
          <w:left w:val="single" w:sz="4" w:space="4" w:color="auto"/>
          <w:bottom w:val="single" w:sz="4" w:space="1" w:color="auto"/>
          <w:right w:val="single" w:sz="4" w:space="4" w:color="auto"/>
        </w:pBdr>
      </w:pPr>
      <w:r w:rsidRPr="00CE1D35">
        <w:t xml:space="preserve">In practice, less than one month is available, because for members of the public, the </w:t>
      </w:r>
      <w:r w:rsidRPr="00CE1D35">
        <w:rPr>
          <w:b/>
          <w:bCs/>
        </w:rPr>
        <w:t>maps and documents are not made available online</w:t>
      </w:r>
      <w:r w:rsidRPr="00CE1D35">
        <w:t>, and have to be requested by email from Scottish Forestry. This can take up to three working days, plus a further two days over a weekend, when every single day is precious. Occasionally, extra maps or surveys need to be requested from the Woodland Officer to shed light on a particular issue</w:t>
      </w:r>
      <w:r w:rsidR="00814888" w:rsidRPr="00CE1D35">
        <w:t xml:space="preserve"> - requiring additional days</w:t>
      </w:r>
      <w:r w:rsidRPr="00CE1D35">
        <w:t>.</w:t>
      </w:r>
    </w:p>
    <w:p w14:paraId="46777189" w14:textId="23E3E0C8" w:rsidR="00391381" w:rsidRPr="00CE1D35" w:rsidRDefault="00391381" w:rsidP="00391381">
      <w:pPr>
        <w:pStyle w:val="ListParagraph"/>
        <w:numPr>
          <w:ilvl w:val="0"/>
          <w:numId w:val="18"/>
        </w:numPr>
        <w:pBdr>
          <w:top w:val="single" w:sz="4" w:space="1" w:color="auto"/>
          <w:left w:val="single" w:sz="4" w:space="4" w:color="auto"/>
          <w:bottom w:val="single" w:sz="4" w:space="1" w:color="auto"/>
          <w:right w:val="single" w:sz="4" w:space="4" w:color="auto"/>
        </w:pBdr>
      </w:pPr>
      <w:r w:rsidRPr="00CE1D35">
        <w:t xml:space="preserve">A </w:t>
      </w:r>
      <w:r w:rsidRPr="00CE1D35">
        <w:rPr>
          <w:b/>
          <w:bCs/>
        </w:rPr>
        <w:t>joint site visit with members of a community at scoping stage</w:t>
      </w:r>
      <w:r w:rsidRPr="00CE1D35">
        <w:t xml:space="preserve"> is a helpful way of gathering information on the current sense of place, current uses, important heritage and cultural features and key visual associations (views). </w:t>
      </w:r>
      <w:r w:rsidR="00020755" w:rsidRPr="00CE1D35">
        <w:t xml:space="preserve">Omitting this </w:t>
      </w:r>
      <w:r w:rsidRPr="00CE1D35">
        <w:t>causes delays and issues and a feeling that communities haven’t been listened to.  Many (not all) proposals are the work of distant designs made at desks by people who have little or no empathy with the location.</w:t>
      </w:r>
    </w:p>
    <w:p w14:paraId="48A2CE8C" w14:textId="5A6A98DE" w:rsidR="007F1D0C" w:rsidRPr="00CE1D35" w:rsidRDefault="007F1D0C" w:rsidP="007F1D0C">
      <w:pPr>
        <w:pStyle w:val="ListParagraph"/>
        <w:numPr>
          <w:ilvl w:val="0"/>
          <w:numId w:val="18"/>
        </w:numPr>
        <w:pBdr>
          <w:top w:val="single" w:sz="4" w:space="1" w:color="auto"/>
          <w:left w:val="single" w:sz="4" w:space="4" w:color="auto"/>
          <w:bottom w:val="single" w:sz="4" w:space="1" w:color="auto"/>
          <w:right w:val="single" w:sz="4" w:space="4" w:color="auto"/>
        </w:pBdr>
      </w:pPr>
      <w:r w:rsidRPr="00CE1D35">
        <w:t xml:space="preserve">Communities report experiences of </w:t>
      </w:r>
      <w:r w:rsidRPr="00CE1D35">
        <w:rPr>
          <w:b/>
          <w:bCs/>
        </w:rPr>
        <w:t>forest agents withholding relevant information</w:t>
      </w:r>
      <w:r w:rsidRPr="00CE1D35">
        <w:t xml:space="preserve"> such as biodiversity surveys. </w:t>
      </w:r>
    </w:p>
    <w:p w14:paraId="7DBC0020" w14:textId="4BD60D1A" w:rsidR="0086581B" w:rsidRPr="00CE1D35" w:rsidRDefault="0086581B" w:rsidP="0086581B">
      <w:pPr>
        <w:pStyle w:val="ListParagraph"/>
        <w:numPr>
          <w:ilvl w:val="0"/>
          <w:numId w:val="18"/>
        </w:numPr>
        <w:pBdr>
          <w:top w:val="single" w:sz="4" w:space="1" w:color="auto"/>
          <w:left w:val="single" w:sz="4" w:space="4" w:color="auto"/>
          <w:bottom w:val="single" w:sz="4" w:space="1" w:color="auto"/>
          <w:right w:val="single" w:sz="4" w:space="4" w:color="auto"/>
        </w:pBdr>
      </w:pPr>
      <w:r w:rsidRPr="00CE1D35">
        <w:rPr>
          <w:b/>
          <w:bCs/>
        </w:rPr>
        <w:t>Early, ‘upstream’ notification helps communities to engage</w:t>
      </w:r>
      <w:r w:rsidRPr="00CE1D35">
        <w:t xml:space="preserve"> with processes a lot.</w:t>
      </w:r>
      <w:r w:rsidR="0082696B" w:rsidRPr="00CE1D35">
        <w:t xml:space="preserve"> If all the information-seeking work is initiated at an earlier stage of the Consultation Process, then a Public Register deadline of one month for a final or near-final late iteration of the plan would be sufficient for any last points. If not, an 8-week deadline is more realistic.</w:t>
      </w:r>
    </w:p>
    <w:p w14:paraId="6BF03614" w14:textId="780E7674" w:rsidR="00544DDB" w:rsidRPr="00CE1D35" w:rsidRDefault="00544DDB" w:rsidP="00544DDB">
      <w:pPr>
        <w:pBdr>
          <w:top w:val="single" w:sz="4" w:space="1" w:color="auto"/>
          <w:left w:val="single" w:sz="4" w:space="4" w:color="auto"/>
          <w:bottom w:val="single" w:sz="4" w:space="1" w:color="auto"/>
          <w:right w:val="single" w:sz="4" w:space="4" w:color="auto"/>
        </w:pBdr>
      </w:pPr>
      <w:r w:rsidRPr="00CE1D35">
        <w:t>Source: forthcoming study of community experiences of FGS consultation</w:t>
      </w:r>
    </w:p>
    <w:p w14:paraId="1C4707ED" w14:textId="69E81686" w:rsidR="007F1D0C" w:rsidRPr="00CE1D35" w:rsidRDefault="00835A07" w:rsidP="007F1D0C">
      <w:pPr>
        <w:pStyle w:val="Heading2"/>
        <w:rPr>
          <w:rFonts w:eastAsia="Arial"/>
        </w:rPr>
      </w:pPr>
      <w:bookmarkStart w:id="8" w:name="_Toc93249684"/>
      <w:r w:rsidRPr="00CE1D35">
        <w:rPr>
          <w:rFonts w:eastAsia="Arial"/>
        </w:rPr>
        <w:t>Recommended</w:t>
      </w:r>
      <w:r w:rsidR="007F1D0C" w:rsidRPr="00CE1D35">
        <w:rPr>
          <w:rFonts w:eastAsia="Arial"/>
        </w:rPr>
        <w:t xml:space="preserve"> changes</w:t>
      </w:r>
      <w:bookmarkEnd w:id="8"/>
      <w:r w:rsidR="007F1D0C" w:rsidRPr="00CE1D35">
        <w:rPr>
          <w:rFonts w:eastAsia="Arial"/>
        </w:rPr>
        <w:t xml:space="preserve"> </w:t>
      </w:r>
    </w:p>
    <w:p w14:paraId="6E363401" w14:textId="50731D59" w:rsidR="00FF0D43" w:rsidRPr="00CE1D35" w:rsidRDefault="000B202A" w:rsidP="007F1D0C">
      <w:r w:rsidRPr="00CE1D35">
        <w:t xml:space="preserve">UKFS 2017 says (p. 136) ‘Consideration should be given to involving people in the development of </w:t>
      </w:r>
      <w:r w:rsidRPr="00CE1D35">
        <w:lastRenderedPageBreak/>
        <w:t xml:space="preserve">forestry proposals who have a recognisable interest in the proposal or its outcomes.’ This is weak. If people have a ‘recognisable interest’ they </w:t>
      </w:r>
      <w:r w:rsidRPr="00CE1D35">
        <w:rPr>
          <w:i/>
          <w:iCs/>
        </w:rPr>
        <w:t xml:space="preserve">must </w:t>
      </w:r>
      <w:r w:rsidRPr="00CE1D35">
        <w:t xml:space="preserve">be involved. </w:t>
      </w:r>
      <w:r w:rsidR="00062422" w:rsidRPr="00CE1D35">
        <w:t xml:space="preserve">The UKFS needs to make consultation a </w:t>
      </w:r>
      <w:r w:rsidR="00062422" w:rsidRPr="00CE1D35">
        <w:rPr>
          <w:i/>
          <w:iCs/>
        </w:rPr>
        <w:t xml:space="preserve">requirement, </w:t>
      </w:r>
      <w:r w:rsidR="00062422" w:rsidRPr="00CE1D35">
        <w:t xml:space="preserve">with </w:t>
      </w:r>
      <w:r w:rsidR="00062422" w:rsidRPr="00CE1D35">
        <w:rPr>
          <w:b/>
          <w:bCs/>
        </w:rPr>
        <w:t>clear indicators of compliance</w:t>
      </w:r>
      <w:r w:rsidR="00062422" w:rsidRPr="00CE1D35">
        <w:t>.</w:t>
      </w:r>
      <w:r w:rsidR="000024C0" w:rsidRPr="00CE1D35">
        <w:t xml:space="preserve"> </w:t>
      </w:r>
      <w:r w:rsidR="007B0B71" w:rsidRPr="00CE1D35">
        <w:t>The UKFS should also do more to ensure that those with a ‘recognisable interest’ are properly and fairly identified and then engaged.</w:t>
      </w:r>
    </w:p>
    <w:p w14:paraId="307600AD" w14:textId="023A590B" w:rsidR="00FF0D43" w:rsidRPr="00CE1D35" w:rsidRDefault="00FF0D43" w:rsidP="00FF0D43">
      <w:pPr>
        <w:rPr>
          <w:rFonts w:eastAsia="Times New Roman"/>
        </w:rPr>
      </w:pPr>
      <w:r w:rsidRPr="00CE1D35">
        <w:rPr>
          <w:rFonts w:eastAsia="Times New Roman"/>
        </w:rPr>
        <w:t xml:space="preserve">The UKFS needs to make a clearer </w:t>
      </w:r>
      <w:r w:rsidRPr="00CE1D35">
        <w:rPr>
          <w:rFonts w:eastAsia="Times New Roman"/>
          <w:b/>
          <w:bCs/>
        </w:rPr>
        <w:t>distinction between consultation arrangements for planning</w:t>
      </w:r>
      <w:r w:rsidR="007B0B71" w:rsidRPr="00CE1D35">
        <w:rPr>
          <w:rFonts w:eastAsia="Times New Roman"/>
          <w:b/>
          <w:bCs/>
        </w:rPr>
        <w:t xml:space="preserve"> or </w:t>
      </w:r>
      <w:r w:rsidRPr="00CE1D35">
        <w:rPr>
          <w:rFonts w:eastAsia="Times New Roman"/>
          <w:b/>
          <w:bCs/>
        </w:rPr>
        <w:t xml:space="preserve">felling </w:t>
      </w:r>
      <w:r w:rsidRPr="00CE1D35">
        <w:rPr>
          <w:rFonts w:eastAsia="Times New Roman"/>
        </w:rPr>
        <w:t>in most cases "business as usual")</w:t>
      </w:r>
      <w:r w:rsidRPr="00CE1D35">
        <w:rPr>
          <w:rFonts w:eastAsia="Times New Roman"/>
          <w:b/>
          <w:bCs/>
        </w:rPr>
        <w:t xml:space="preserve"> and woodland creation</w:t>
      </w:r>
      <w:r w:rsidRPr="00CE1D35">
        <w:rPr>
          <w:rFonts w:eastAsia="Times New Roman"/>
        </w:rPr>
        <w:t xml:space="preserve"> (which is land-use change). </w:t>
      </w:r>
    </w:p>
    <w:p w14:paraId="320F971B" w14:textId="76FE713B" w:rsidR="00AB78B9" w:rsidRPr="00CE1D35" w:rsidRDefault="00B35AC3" w:rsidP="007F1D0C">
      <w:r w:rsidRPr="00CE1D35">
        <w:t>Full consultation</w:t>
      </w:r>
      <w:r w:rsidR="00030AA6" w:rsidRPr="00CE1D35">
        <w:t xml:space="preserve"> </w:t>
      </w:r>
      <w:r w:rsidR="009B031A" w:rsidRPr="00CE1D35">
        <w:t>may only be</w:t>
      </w:r>
      <w:r w:rsidR="006523D9" w:rsidRPr="00CE1D35">
        <w:t xml:space="preserve"> required for sensitive applications. Criteria for what is sensitive need to be clear</w:t>
      </w:r>
      <w:r w:rsidR="00AB78B9" w:rsidRPr="00CE1D35">
        <w:t>, and applied by the regulatory authorities</w:t>
      </w:r>
      <w:r w:rsidR="009B031A" w:rsidRPr="00CE1D35">
        <w:t>,</w:t>
      </w:r>
      <w:r w:rsidR="00AB78B9" w:rsidRPr="00CE1D35">
        <w:t xml:space="preserve"> not simply ‘considered’ by the forest management interests. </w:t>
      </w:r>
      <w:r w:rsidR="008500D0" w:rsidRPr="00CE1D35">
        <w:t>Scale</w:t>
      </w:r>
      <w:r w:rsidR="009B031A" w:rsidRPr="00CE1D35">
        <w:t xml:space="preserve">, proximity to communities, </w:t>
      </w:r>
      <w:r w:rsidR="008500D0" w:rsidRPr="00CE1D35">
        <w:t xml:space="preserve">level of existing use, environmental designations, </w:t>
      </w:r>
      <w:r w:rsidR="009B031A" w:rsidRPr="00CE1D35">
        <w:t xml:space="preserve">species </w:t>
      </w:r>
      <w:r w:rsidR="00DA0B8B" w:rsidRPr="00CE1D35">
        <w:t xml:space="preserve">choice, </w:t>
      </w:r>
      <w:r w:rsidR="009B031A" w:rsidRPr="00CE1D35">
        <w:t xml:space="preserve">landscape impact </w:t>
      </w:r>
      <w:r w:rsidR="00DA0B8B" w:rsidRPr="00CE1D35">
        <w:t xml:space="preserve">and cumulative impact of multiple schemes and management plans, all affect </w:t>
      </w:r>
      <w:r w:rsidR="008500D0" w:rsidRPr="00CE1D35">
        <w:t>sensitivity</w:t>
      </w:r>
      <w:r w:rsidR="00DA0B8B" w:rsidRPr="00CE1D35">
        <w:t xml:space="preserve">. </w:t>
      </w:r>
    </w:p>
    <w:p w14:paraId="6C53663F" w14:textId="2F6C0108" w:rsidR="008500D0" w:rsidRPr="00CE1D35" w:rsidRDefault="008500D0" w:rsidP="008500D0">
      <w:pPr>
        <w:rPr>
          <w:rFonts w:eastAsia="Times New Roman"/>
        </w:rPr>
      </w:pPr>
      <w:r w:rsidRPr="00CE1D35">
        <w:rPr>
          <w:rFonts w:eastAsia="Times New Roman"/>
        </w:rPr>
        <w:t xml:space="preserve">Woodland creation proposals assessed as sensitive should be required to go through a public consultation process, with </w:t>
      </w:r>
    </w:p>
    <w:p w14:paraId="56866CCE" w14:textId="3AC3EB03" w:rsidR="008500D0" w:rsidRPr="00CE1D35" w:rsidRDefault="008500D0" w:rsidP="008500D0">
      <w:pPr>
        <w:pStyle w:val="default-style"/>
        <w:numPr>
          <w:ilvl w:val="0"/>
          <w:numId w:val="25"/>
        </w:numPr>
        <w:rPr>
          <w:rFonts w:eastAsia="Times New Roman"/>
        </w:rPr>
      </w:pPr>
      <w:r w:rsidRPr="00CE1D35">
        <w:rPr>
          <w:rFonts w:eastAsia="Times New Roman"/>
        </w:rPr>
        <w:t>early heads-up e.g. to community councils at design stage</w:t>
      </w:r>
      <w:r w:rsidR="00013147" w:rsidRPr="00CE1D35">
        <w:rPr>
          <w:rFonts w:eastAsia="Times New Roman"/>
        </w:rPr>
        <w:t>;</w:t>
      </w:r>
    </w:p>
    <w:p w14:paraId="7E0906A7" w14:textId="7A31C7FC" w:rsidR="008500D0" w:rsidRPr="00CE1D35" w:rsidRDefault="008500D0" w:rsidP="008500D0">
      <w:pPr>
        <w:pStyle w:val="default-style"/>
        <w:numPr>
          <w:ilvl w:val="0"/>
          <w:numId w:val="25"/>
        </w:numPr>
        <w:rPr>
          <w:rFonts w:eastAsia="Times New Roman"/>
        </w:rPr>
      </w:pPr>
      <w:r w:rsidRPr="00CE1D35">
        <w:rPr>
          <w:rFonts w:eastAsia="Times New Roman"/>
        </w:rPr>
        <w:t xml:space="preserve">publication of site maps and environmental and other surveys (with appropriate redactions if </w:t>
      </w:r>
      <w:r w:rsidR="00013147" w:rsidRPr="00CE1D35">
        <w:rPr>
          <w:rFonts w:eastAsia="Times New Roman"/>
        </w:rPr>
        <w:t>sensitive</w:t>
      </w:r>
      <w:r w:rsidRPr="00CE1D35">
        <w:rPr>
          <w:rFonts w:eastAsia="Times New Roman"/>
        </w:rPr>
        <w:t xml:space="preserve"> species involved) on public register</w:t>
      </w:r>
      <w:r w:rsidR="00013147" w:rsidRPr="00CE1D35">
        <w:rPr>
          <w:rFonts w:eastAsia="Times New Roman"/>
        </w:rPr>
        <w:t>.</w:t>
      </w:r>
    </w:p>
    <w:p w14:paraId="00484C48" w14:textId="5470F0BC" w:rsidR="00AB78B9" w:rsidRPr="00CE1D35" w:rsidRDefault="00013147" w:rsidP="007F1D0C">
      <w:r w:rsidRPr="00CE1D35">
        <w:t xml:space="preserve">For those not assessed as sensitive, consultation </w:t>
      </w:r>
      <w:r w:rsidR="00AB78B9" w:rsidRPr="00CE1D35">
        <w:t xml:space="preserve">should </w:t>
      </w:r>
      <w:r w:rsidRPr="00CE1D35">
        <w:t xml:space="preserve">still be more pro-active and </w:t>
      </w:r>
      <w:r w:rsidR="00AB78B9" w:rsidRPr="00CE1D35">
        <w:t xml:space="preserve">include: </w:t>
      </w:r>
    </w:p>
    <w:p w14:paraId="1C07D528" w14:textId="34BC7AF6" w:rsidR="007F1D0C" w:rsidRPr="00CE1D35" w:rsidRDefault="00DA0B8B" w:rsidP="007F1D0C">
      <w:pPr>
        <w:pStyle w:val="ListParagraph"/>
        <w:numPr>
          <w:ilvl w:val="0"/>
          <w:numId w:val="13"/>
        </w:numPr>
      </w:pPr>
      <w:r w:rsidRPr="00CE1D35">
        <w:t>a</w:t>
      </w:r>
      <w:r w:rsidR="007F1D0C" w:rsidRPr="00CE1D35">
        <w:t>lert neighbours, and relevant community bodies, to existence of application on register</w:t>
      </w:r>
      <w:r w:rsidRPr="00CE1D35">
        <w:t>;</w:t>
      </w:r>
      <w:r w:rsidR="00593760" w:rsidRPr="00CE1D35">
        <w:t xml:space="preserve"> </w:t>
      </w:r>
    </w:p>
    <w:p w14:paraId="0CEA55C9" w14:textId="61350E93" w:rsidR="00593760" w:rsidRPr="00CE1D35" w:rsidRDefault="00DA0B8B" w:rsidP="007F1D0C">
      <w:pPr>
        <w:pStyle w:val="ListParagraph"/>
        <w:numPr>
          <w:ilvl w:val="0"/>
          <w:numId w:val="13"/>
        </w:numPr>
      </w:pPr>
      <w:r w:rsidRPr="00CE1D35">
        <w:t>p</w:t>
      </w:r>
      <w:r w:rsidR="00593760" w:rsidRPr="00CE1D35">
        <w:t>rovide maps on the register</w:t>
      </w:r>
      <w:r w:rsidR="008500D0" w:rsidRPr="00CE1D35">
        <w:t>;</w:t>
      </w:r>
      <w:r w:rsidR="00593760" w:rsidRPr="00CE1D35">
        <w:t xml:space="preserve"> </w:t>
      </w:r>
    </w:p>
    <w:p w14:paraId="39C39641" w14:textId="042CE2E8" w:rsidR="007F1D0C" w:rsidRPr="00CE1D35" w:rsidRDefault="00FF0D43" w:rsidP="00FF0D43">
      <w:pPr>
        <w:pStyle w:val="ListParagraph"/>
        <w:numPr>
          <w:ilvl w:val="0"/>
          <w:numId w:val="13"/>
        </w:numPr>
      </w:pPr>
      <w:r w:rsidRPr="00CE1D35">
        <w:t>p</w:t>
      </w:r>
      <w:r w:rsidR="007F1D0C" w:rsidRPr="00CE1D35">
        <w:t>roactively seek knowledgeable local stakeholders</w:t>
      </w:r>
      <w:r w:rsidR="00593760" w:rsidRPr="00CE1D35">
        <w:t xml:space="preserve"> and invite input</w:t>
      </w:r>
      <w:r w:rsidR="007F1D0C" w:rsidRPr="00CE1D35">
        <w:t xml:space="preserve">. </w:t>
      </w:r>
    </w:p>
    <w:p w14:paraId="52248B5D" w14:textId="5E61B2D6" w:rsidR="0019480D" w:rsidRPr="00CE1D35" w:rsidRDefault="0019480D" w:rsidP="004860F8">
      <w:r w:rsidRPr="00CE1D35">
        <w:t xml:space="preserve">Specific suggestions for rewording </w:t>
      </w:r>
      <w:r w:rsidR="00195841" w:rsidRPr="00CE1D35">
        <w:t xml:space="preserve">can be found in Appendix 2. </w:t>
      </w:r>
    </w:p>
    <w:p w14:paraId="7B58E79C" w14:textId="6EB58B21" w:rsidR="009E6A77" w:rsidRPr="00CE1D35" w:rsidRDefault="009E6A77" w:rsidP="004860F8">
      <w:pPr>
        <w:rPr>
          <w:rFonts w:eastAsia="Times New Roman"/>
          <w:b/>
          <w:bCs/>
        </w:rPr>
      </w:pPr>
      <w:r w:rsidRPr="00CE1D35">
        <w:rPr>
          <w:rFonts w:eastAsia="Times New Roman"/>
          <w:b/>
          <w:bCs/>
        </w:rPr>
        <w:t>Additional guidance and support</w:t>
      </w:r>
      <w:r w:rsidR="00E41BDA" w:rsidRPr="00CE1D35">
        <w:rPr>
          <w:rFonts w:eastAsia="Times New Roman"/>
          <w:b/>
          <w:bCs/>
        </w:rPr>
        <w:t xml:space="preserve"> will be needed</w:t>
      </w:r>
      <w:r w:rsidRPr="00CE1D35">
        <w:rPr>
          <w:rFonts w:eastAsia="Times New Roman"/>
          <w:b/>
          <w:bCs/>
        </w:rPr>
        <w:t xml:space="preserve">: </w:t>
      </w:r>
    </w:p>
    <w:p w14:paraId="1CBA40DD" w14:textId="3A5B3C1F" w:rsidR="009E6A77" w:rsidRPr="00CE1D35" w:rsidRDefault="00A71D4A" w:rsidP="004860F8">
      <w:pPr>
        <w:pStyle w:val="ListParagraph"/>
        <w:numPr>
          <w:ilvl w:val="0"/>
          <w:numId w:val="37"/>
        </w:numPr>
        <w:rPr>
          <w:rFonts w:eastAsia="Times New Roman"/>
        </w:rPr>
      </w:pPr>
      <w:r w:rsidRPr="00CE1D35">
        <w:rPr>
          <w:rFonts w:eastAsia="Times New Roman"/>
        </w:rPr>
        <w:t>f</w:t>
      </w:r>
      <w:r w:rsidR="009E6A77" w:rsidRPr="00CE1D35">
        <w:rPr>
          <w:rFonts w:eastAsia="Times New Roman"/>
        </w:rPr>
        <w:t xml:space="preserve">or regulators, landowners/managers </w:t>
      </w:r>
      <w:r w:rsidR="00F0405A" w:rsidRPr="00CE1D35">
        <w:rPr>
          <w:rFonts w:eastAsia="Times New Roman"/>
        </w:rPr>
        <w:t>and</w:t>
      </w:r>
      <w:r w:rsidR="009E6A77" w:rsidRPr="00CE1D35">
        <w:rPr>
          <w:rFonts w:eastAsia="Times New Roman"/>
        </w:rPr>
        <w:t xml:space="preserve"> public</w:t>
      </w:r>
      <w:r w:rsidR="00F0405A" w:rsidRPr="00CE1D35">
        <w:rPr>
          <w:rFonts w:eastAsia="Times New Roman"/>
        </w:rPr>
        <w:t>,</w:t>
      </w:r>
      <w:r w:rsidR="009E6A77" w:rsidRPr="00CE1D35">
        <w:rPr>
          <w:rFonts w:eastAsia="Times New Roman"/>
        </w:rPr>
        <w:t xml:space="preserve"> on how "sensitive" will be assessed</w:t>
      </w:r>
      <w:r w:rsidRPr="00CE1D35">
        <w:rPr>
          <w:rFonts w:eastAsia="Times New Roman"/>
        </w:rPr>
        <w:t>;</w:t>
      </w:r>
    </w:p>
    <w:p w14:paraId="3DB6F029" w14:textId="0C9789B0" w:rsidR="00B74415" w:rsidRPr="00CE1D35" w:rsidRDefault="00A71D4A" w:rsidP="004860F8">
      <w:pPr>
        <w:pStyle w:val="ListParagraph"/>
        <w:numPr>
          <w:ilvl w:val="0"/>
          <w:numId w:val="37"/>
        </w:numPr>
        <w:rPr>
          <w:rFonts w:eastAsia="Times New Roman"/>
        </w:rPr>
      </w:pPr>
      <w:r w:rsidRPr="00CE1D35">
        <w:rPr>
          <w:rFonts w:eastAsia="Times New Roman"/>
        </w:rPr>
        <w:t>f</w:t>
      </w:r>
      <w:r w:rsidR="009E6A77" w:rsidRPr="00CE1D35">
        <w:rPr>
          <w:rFonts w:eastAsia="Times New Roman"/>
        </w:rPr>
        <w:t xml:space="preserve">or landowners/managers on how to engage with local communities </w:t>
      </w:r>
      <w:r w:rsidR="00F0405A" w:rsidRPr="00CE1D35">
        <w:rPr>
          <w:rFonts w:eastAsia="Times New Roman"/>
        </w:rPr>
        <w:t>and other people with ‘recognisable interest’</w:t>
      </w:r>
      <w:r w:rsidRPr="00CE1D35">
        <w:rPr>
          <w:rFonts w:eastAsia="Times New Roman"/>
        </w:rPr>
        <w:t>;</w:t>
      </w:r>
      <w:r w:rsidR="00E13607" w:rsidRPr="00CE1D35">
        <w:rPr>
          <w:rFonts w:eastAsia="Times New Roman"/>
        </w:rPr>
        <w:t xml:space="preserve"> </w:t>
      </w:r>
      <w:r w:rsidR="00B74415" w:rsidRPr="00CE1D35">
        <w:rPr>
          <w:rFonts w:eastAsia="Times New Roman"/>
        </w:rPr>
        <w:t>including</w:t>
      </w:r>
      <w:r w:rsidR="009B031A" w:rsidRPr="00CE1D35">
        <w:rPr>
          <w:rFonts w:eastAsia="Times New Roman"/>
        </w:rPr>
        <w:t xml:space="preserve"> </w:t>
      </w:r>
      <w:r w:rsidR="00E13607" w:rsidRPr="00CE1D35">
        <w:rPr>
          <w:rFonts w:eastAsia="Times New Roman"/>
        </w:rPr>
        <w:t>joint site visit at early stag</w:t>
      </w:r>
      <w:r w:rsidR="009B031A" w:rsidRPr="00CE1D35">
        <w:rPr>
          <w:rFonts w:eastAsia="Times New Roman"/>
        </w:rPr>
        <w:t>e;</w:t>
      </w:r>
    </w:p>
    <w:p w14:paraId="3A827560" w14:textId="79AB77EA" w:rsidR="00CC3250" w:rsidRPr="00CE1D35" w:rsidRDefault="00A71D4A" w:rsidP="004860F8">
      <w:pPr>
        <w:pStyle w:val="ListParagraph"/>
        <w:numPr>
          <w:ilvl w:val="0"/>
          <w:numId w:val="37"/>
        </w:numPr>
        <w:rPr>
          <w:rFonts w:eastAsia="Times New Roman"/>
        </w:rPr>
      </w:pPr>
      <w:r w:rsidRPr="00CE1D35">
        <w:rPr>
          <w:rFonts w:eastAsia="Times New Roman"/>
        </w:rPr>
        <w:t>f</w:t>
      </w:r>
      <w:r w:rsidR="009E6A77" w:rsidRPr="00CE1D35">
        <w:rPr>
          <w:rFonts w:eastAsia="Times New Roman"/>
        </w:rPr>
        <w:t>or potential consultees, to explain woodland creation approval  and consultation processes</w:t>
      </w:r>
      <w:r w:rsidRPr="00CE1D35">
        <w:rPr>
          <w:rFonts w:eastAsia="Times New Roman"/>
        </w:rPr>
        <w:t>.</w:t>
      </w:r>
    </w:p>
    <w:p w14:paraId="75BB83F1" w14:textId="78046DF3" w:rsidR="007F1D0C" w:rsidRPr="00CE1D35" w:rsidRDefault="007F1D0C" w:rsidP="007F1D0C">
      <w:pPr>
        <w:pStyle w:val="Heading1"/>
      </w:pPr>
      <w:bookmarkStart w:id="9" w:name="_Toc93249685"/>
      <w:r w:rsidRPr="00CE1D35">
        <w:t xml:space="preserve">Local knowledge, </w:t>
      </w:r>
      <w:r w:rsidR="00B35AC3" w:rsidRPr="00CE1D35">
        <w:t>place</w:t>
      </w:r>
      <w:r w:rsidRPr="00CE1D35">
        <w:t xml:space="preserve"> and livelihoods</w:t>
      </w:r>
      <w:bookmarkEnd w:id="9"/>
    </w:p>
    <w:p w14:paraId="35C1A3BF" w14:textId="77777777" w:rsidR="007F1D0C" w:rsidRPr="00CE1D35" w:rsidRDefault="007F1D0C" w:rsidP="007F1D0C">
      <w:pPr>
        <w:pStyle w:val="Heading2"/>
      </w:pPr>
      <w:bookmarkStart w:id="10" w:name="_Toc93249686"/>
      <w:r w:rsidRPr="00CE1D35">
        <w:t>Why ‘People’ are part of this issue</w:t>
      </w:r>
      <w:bookmarkEnd w:id="10"/>
    </w:p>
    <w:p w14:paraId="60B39F24" w14:textId="3302859F" w:rsidR="007F1D0C" w:rsidRPr="00CE1D35" w:rsidRDefault="007F1D0C" w:rsidP="007F1D0C">
      <w:r w:rsidRPr="00CE1D35">
        <w:t>This section focus on what local engagement can contribute to better (more sustainable) forestry. Our experience is that these fall into three categories: knowledge, sense of place, and livelihoods</w:t>
      </w:r>
      <w:r w:rsidRPr="00CE1D35">
        <w:rPr>
          <w:b/>
          <w:bCs/>
        </w:rPr>
        <w:t>.</w:t>
      </w:r>
      <w:r w:rsidRPr="00CE1D35">
        <w:t xml:space="preserve"> </w:t>
      </w:r>
    </w:p>
    <w:p w14:paraId="65ED103A" w14:textId="77777777" w:rsidR="007F1D0C" w:rsidRPr="00CE1D35" w:rsidRDefault="007F1D0C" w:rsidP="007F1D0C">
      <w:r w:rsidRPr="00CE1D35">
        <w:t xml:space="preserve">Local </w:t>
      </w:r>
      <w:r w:rsidRPr="00CE1D35">
        <w:rPr>
          <w:b/>
          <w:bCs/>
        </w:rPr>
        <w:t>knowledge</w:t>
      </w:r>
      <w:r w:rsidRPr="00CE1D35">
        <w:t xml:space="preserve">, local communities of interest and experts are often essential sources of information about biodiversity, heritage, history and culture. This contribution to knowledge is discussed in sections 6, 7 and 8 below.  </w:t>
      </w:r>
    </w:p>
    <w:p w14:paraId="23338E81" w14:textId="2D7F89EF" w:rsidR="007F1D0C" w:rsidRPr="00CE1D35" w:rsidRDefault="007F1D0C" w:rsidP="007F1D0C">
      <w:r w:rsidRPr="00CE1D35">
        <w:t xml:space="preserve">UKFS 2017 recognises that ‘Forests contribute to the local </w:t>
      </w:r>
      <w:r w:rsidRPr="00CE1D35">
        <w:rPr>
          <w:b/>
          <w:bCs/>
        </w:rPr>
        <w:t>sense of place</w:t>
      </w:r>
      <w:r w:rsidRPr="00CE1D35">
        <w:t xml:space="preserve">, and they can form part of the wider physical and cultural landscape.’ (p. 129) and notes that ‘Frequently, forests are a focus for cultural activities, traditional and new; these help to maintain and extend the role of a forest in contemporary culture and build a sense of community.’ It’s vital to establish local peoples’ </w:t>
      </w:r>
      <w:r w:rsidRPr="00CE1D35">
        <w:rPr>
          <w:i/>
          <w:iCs/>
        </w:rPr>
        <w:t xml:space="preserve">existing </w:t>
      </w:r>
      <w:r w:rsidRPr="00CE1D35">
        <w:t xml:space="preserve">‘sense of place’ at the earliest juncture of an application to ensure long-standing cultural associations and recreational uses are respected. Sense of place is an acknowledged component of </w:t>
      </w:r>
      <w:r w:rsidRPr="00CE1D35">
        <w:lastRenderedPageBreak/>
        <w:t xml:space="preserve">well-being </w:t>
      </w:r>
      <w:r w:rsidR="00631AB8" w:rsidRPr="00CE1D35">
        <w:t>and must be taken into account</w:t>
      </w:r>
      <w:r w:rsidRPr="00CE1D35">
        <w:t xml:space="preserve"> when considering land-use change.</w:t>
      </w:r>
      <w:r w:rsidR="009E5704" w:rsidRPr="00CE1D35">
        <w:t xml:space="preserve"> </w:t>
      </w:r>
      <w:r w:rsidRPr="00CE1D35">
        <w:t xml:space="preserve">This knowledge of place also means that local people sometimes have a more informed view on the </w:t>
      </w:r>
      <w:r w:rsidRPr="00CE1D35">
        <w:rPr>
          <w:b/>
          <w:bCs/>
        </w:rPr>
        <w:t xml:space="preserve">cumulative impact of </w:t>
      </w:r>
      <w:r w:rsidR="009E5704" w:rsidRPr="00CE1D35">
        <w:rPr>
          <w:b/>
          <w:bCs/>
        </w:rPr>
        <w:t xml:space="preserve">land use </w:t>
      </w:r>
      <w:r w:rsidRPr="00CE1D35">
        <w:rPr>
          <w:b/>
          <w:bCs/>
        </w:rPr>
        <w:t>change</w:t>
      </w:r>
      <w:r w:rsidRPr="00CE1D35">
        <w:t xml:space="preserve">. </w:t>
      </w:r>
      <w:r w:rsidR="009E5704" w:rsidRPr="00CE1D35">
        <w:t xml:space="preserve">Yet </w:t>
      </w:r>
      <w:r w:rsidR="00500358" w:rsidRPr="00CE1D35">
        <w:t xml:space="preserve">these knowledge and values are rarely taken into account in new planting applications or forest management plans. </w:t>
      </w:r>
    </w:p>
    <w:p w14:paraId="44353AB2" w14:textId="6F889559" w:rsidR="007F1D0C" w:rsidRPr="00CE1D35" w:rsidRDefault="007F1D0C" w:rsidP="007F1D0C">
      <w:r w:rsidRPr="00CE1D35">
        <w:rPr>
          <w:rFonts w:eastAsia="Times New Roman"/>
          <w:lang w:eastAsia="en-GB"/>
        </w:rPr>
        <w:t xml:space="preserve">UKFS 2017 refers to </w:t>
      </w:r>
      <w:r w:rsidRPr="00CE1D35">
        <w:rPr>
          <w:rFonts w:eastAsia="Times New Roman"/>
          <w:b/>
          <w:bCs/>
          <w:lang w:eastAsia="en-GB"/>
        </w:rPr>
        <w:t>rural development</w:t>
      </w:r>
      <w:r w:rsidRPr="00CE1D35">
        <w:rPr>
          <w:rFonts w:eastAsia="Times New Roman"/>
          <w:lang w:eastAsia="en-GB"/>
        </w:rPr>
        <w:t xml:space="preserve"> and the [potential] benefits of </w:t>
      </w:r>
      <w:r w:rsidRPr="00CE1D35">
        <w:rPr>
          <w:rFonts w:eastAsia="Times New Roman"/>
          <w:b/>
          <w:bCs/>
          <w:lang w:eastAsia="en-GB"/>
        </w:rPr>
        <w:t>new forest-based businesses and community development</w:t>
      </w:r>
      <w:r w:rsidRPr="00CE1D35">
        <w:rPr>
          <w:rFonts w:eastAsia="Times New Roman"/>
          <w:lang w:eastAsia="en-GB"/>
        </w:rPr>
        <w:t xml:space="preserve">. </w:t>
      </w:r>
      <w:r w:rsidRPr="00CE1D35">
        <w:t xml:space="preserve">Forest and woodland-based enterprises of all types make an important contribution to the local economy. This can be particularly important in supporting rural livelihoods and providing new economic activity in regenerating urban areas. </w:t>
      </w:r>
      <w:r w:rsidR="005F0EED" w:rsidRPr="00CE1D35">
        <w:t xml:space="preserve">Yet this aspect is very rarely included in new planting applications, and rarely in forest management plans. </w:t>
      </w:r>
    </w:p>
    <w:p w14:paraId="7BE77D0A" w14:textId="376DED85" w:rsidR="006D4C90" w:rsidRPr="00CE1D35" w:rsidRDefault="007F1D0C" w:rsidP="007F1D0C">
      <w:pPr>
        <w:pStyle w:val="Heading2"/>
        <w:rPr>
          <w:rFonts w:eastAsia="Arial"/>
        </w:rPr>
      </w:pPr>
      <w:bookmarkStart w:id="11" w:name="_Toc93249687"/>
      <w:r w:rsidRPr="00CE1D35">
        <w:rPr>
          <w:rFonts w:eastAsia="Arial"/>
        </w:rPr>
        <w:t>Evidence of the issue</w:t>
      </w:r>
      <w:bookmarkEnd w:id="11"/>
    </w:p>
    <w:p w14:paraId="03884D24" w14:textId="57B5182F" w:rsidR="007F1D0C" w:rsidRPr="00CE1D35" w:rsidRDefault="00652B61" w:rsidP="00A8157A">
      <w:r w:rsidRPr="00CE1D35">
        <w:t xml:space="preserve">Estimates suggest </w:t>
      </w:r>
      <w:r w:rsidR="00EB2D8B" w:rsidRPr="00CE1D35">
        <w:t xml:space="preserve">the </w:t>
      </w:r>
      <w:r w:rsidRPr="00CE1D35">
        <w:t xml:space="preserve">total number of people connected with small-scale woodland-related activities could be about 6,255 people, and their income and local spend amount to an estimated £69.8 million per annum in Scotland </w:t>
      </w:r>
      <w:bookmarkStart w:id="12" w:name="Bookmark881"/>
      <w:bookmarkStart w:id="13" w:name="Bookmark7911"/>
      <w:bookmarkStart w:id="14" w:name="Bookmark88"/>
      <w:bookmarkEnd w:id="12"/>
      <w:bookmarkEnd w:id="13"/>
      <w:r w:rsidRPr="00CE1D35">
        <w:rPr>
          <w:noProof/>
        </w:rPr>
        <w:t>(Watt and McGhee 2018)</w:t>
      </w:r>
      <w:bookmarkEnd w:id="14"/>
      <w:r w:rsidRPr="00CE1D35">
        <w:t xml:space="preserve">. </w:t>
      </w:r>
      <w:r w:rsidR="00EB2D8B" w:rsidRPr="00CE1D35">
        <w:t xml:space="preserve">However this is much less than the potential and needs </w:t>
      </w:r>
      <w:r w:rsidRPr="00CE1D35">
        <w:t xml:space="preserve">support </w:t>
      </w:r>
      <w:r w:rsidR="00C233A3" w:rsidRPr="00CE1D35">
        <w:t xml:space="preserve">to ensure </w:t>
      </w:r>
      <w:r w:rsidRPr="00CE1D35">
        <w:t xml:space="preserve">the sector </w:t>
      </w:r>
      <w:r w:rsidR="00C233A3" w:rsidRPr="00CE1D35">
        <w:t xml:space="preserve">is encouraged with </w:t>
      </w:r>
      <w:proofErr w:type="spellStart"/>
      <w:r w:rsidRPr="00CE1D35">
        <w:t>well designed</w:t>
      </w:r>
      <w:proofErr w:type="spellEnd"/>
      <w:r w:rsidRPr="00CE1D35">
        <w:t xml:space="preserve"> and actively managed woodlands </w:t>
      </w:r>
      <w:r w:rsidRPr="00CE1D35">
        <w:rPr>
          <w:noProof/>
        </w:rPr>
        <w:t>(Worrell et al. 2018)</w:t>
      </w:r>
      <w:r w:rsidRPr="00CE1D35">
        <w:t>.</w:t>
      </w:r>
      <w:r w:rsidR="00C233A3" w:rsidRPr="00CE1D35">
        <w:t xml:space="preserve"> The SUP </w:t>
      </w:r>
      <w:r w:rsidR="00E21CBA" w:rsidRPr="00CE1D35">
        <w:t xml:space="preserve">/ BFT </w:t>
      </w:r>
      <w:r w:rsidR="00C233A3" w:rsidRPr="00CE1D35">
        <w:t xml:space="preserve">study </w:t>
      </w:r>
      <w:r w:rsidR="00A8157A" w:rsidRPr="00CE1D35">
        <w:t xml:space="preserve">found that ‘Forestry represents a significant investment in rural areas, but little of the investment actually benefits local communities. </w:t>
      </w:r>
      <w:r w:rsidR="00A8157A" w:rsidRPr="00CE1D35">
        <w:rPr>
          <w:rFonts w:ascii="Calibri" w:hAnsi="Calibri" w:cs="Calibri"/>
          <w:color w:val="000000"/>
          <w:shd w:val="clear" w:color="auto" w:fill="auto"/>
        </w:rPr>
        <w:t>Forestry developers could do more to help explore local opportunities</w:t>
      </w:r>
      <w:r w:rsidR="00A8157A" w:rsidRPr="00CE1D35">
        <w:t xml:space="preserve">.’ </w:t>
      </w:r>
    </w:p>
    <w:p w14:paraId="1F041AB3" w14:textId="48B658DE" w:rsidR="007F1D0C" w:rsidRPr="00CE1D35" w:rsidRDefault="00835A07" w:rsidP="007F1D0C">
      <w:pPr>
        <w:pStyle w:val="Heading2"/>
        <w:rPr>
          <w:rFonts w:eastAsia="Arial"/>
        </w:rPr>
      </w:pPr>
      <w:bookmarkStart w:id="15" w:name="_Toc93249688"/>
      <w:r w:rsidRPr="00CE1D35">
        <w:rPr>
          <w:rFonts w:eastAsia="Arial"/>
        </w:rPr>
        <w:t>Recommended</w:t>
      </w:r>
      <w:r w:rsidR="007F1D0C" w:rsidRPr="00CE1D35">
        <w:rPr>
          <w:rFonts w:eastAsia="Arial"/>
        </w:rPr>
        <w:t xml:space="preserve"> changes</w:t>
      </w:r>
      <w:bookmarkEnd w:id="15"/>
      <w:r w:rsidR="007F1D0C" w:rsidRPr="00CE1D35">
        <w:rPr>
          <w:rFonts w:eastAsia="Arial"/>
        </w:rPr>
        <w:t xml:space="preserve"> </w:t>
      </w:r>
    </w:p>
    <w:p w14:paraId="4DD6E9F7" w14:textId="276D3754" w:rsidR="0036391A" w:rsidRPr="00CE1D35" w:rsidRDefault="00E64E2B" w:rsidP="00796909">
      <w:r w:rsidRPr="00CE1D35">
        <w:t xml:space="preserve">In addition to the changes needed under other sections to increase recognition of the value of local </w:t>
      </w:r>
      <w:r w:rsidR="005938E6" w:rsidRPr="00CE1D35">
        <w:t xml:space="preserve">knowledge, and the impact of land use change on local people, the </w:t>
      </w:r>
      <w:r w:rsidR="007F1D0C" w:rsidRPr="00CE1D35">
        <w:t xml:space="preserve">UKFS </w:t>
      </w:r>
      <w:r w:rsidR="005938E6" w:rsidRPr="00CE1D35">
        <w:t xml:space="preserve">should more proactively encourage </w:t>
      </w:r>
      <w:r w:rsidR="007F1D0C" w:rsidRPr="00CE1D35">
        <w:t xml:space="preserve">support </w:t>
      </w:r>
      <w:r w:rsidR="00796909" w:rsidRPr="00CE1D35">
        <w:t xml:space="preserve">for </w:t>
      </w:r>
      <w:r w:rsidR="007F1D0C" w:rsidRPr="00CE1D35">
        <w:t xml:space="preserve">rural development </w:t>
      </w:r>
      <w:r w:rsidR="00796909" w:rsidRPr="00CE1D35">
        <w:t xml:space="preserve">through stronger wording around </w:t>
      </w:r>
      <w:r w:rsidR="00284EB0" w:rsidRPr="00CE1D35">
        <w:t xml:space="preserve">local forest and woodland- based enterprises and economic activities should be explored. </w:t>
      </w:r>
    </w:p>
    <w:p w14:paraId="5160BC2F" w14:textId="07C7B774" w:rsidR="007F1D0C" w:rsidRPr="00CE1D35" w:rsidRDefault="007F1D0C" w:rsidP="007F1D0C">
      <w:pPr>
        <w:pStyle w:val="Heading1"/>
      </w:pPr>
      <w:bookmarkStart w:id="16" w:name="_Toc93249689"/>
      <w:r w:rsidRPr="00CE1D35">
        <w:t>Recreation and access</w:t>
      </w:r>
      <w:bookmarkEnd w:id="16"/>
    </w:p>
    <w:p w14:paraId="07204885" w14:textId="77777777" w:rsidR="007F1D0C" w:rsidRPr="00CE1D35" w:rsidRDefault="007F1D0C" w:rsidP="007F1D0C">
      <w:pPr>
        <w:pStyle w:val="Heading2"/>
      </w:pPr>
      <w:bookmarkStart w:id="17" w:name="_Toc93249690"/>
      <w:r w:rsidRPr="00CE1D35">
        <w:t>Why ‘People’ are part of this issue</w:t>
      </w:r>
      <w:bookmarkEnd w:id="17"/>
    </w:p>
    <w:p w14:paraId="73720228" w14:textId="5F69A60E" w:rsidR="007F1D0C" w:rsidRPr="00CE1D35" w:rsidRDefault="001146DE" w:rsidP="007F1D0C">
      <w:r w:rsidRPr="00CE1D35">
        <w:t>The</w:t>
      </w:r>
      <w:r w:rsidR="007F1D0C" w:rsidRPr="00CE1D35">
        <w:t xml:space="preserve"> benefits to mental, physical and social well-being, of access to the outdoors </w:t>
      </w:r>
      <w:r w:rsidRPr="00CE1D35">
        <w:t xml:space="preserve">- </w:t>
      </w:r>
      <w:r w:rsidR="007F1D0C" w:rsidRPr="00CE1D35">
        <w:t>and woodland in particular</w:t>
      </w:r>
      <w:r w:rsidRPr="00CE1D35">
        <w:t xml:space="preserve"> - are well documented</w:t>
      </w:r>
      <w:r w:rsidR="007F1D0C" w:rsidRPr="00CE1D35">
        <w:t xml:space="preserve">. The UKFS recognises this. However it implies that access is only important in particular kinds of woodland. </w:t>
      </w:r>
      <w:r w:rsidR="00BC0293" w:rsidRPr="00CE1D35">
        <w:t xml:space="preserve">On the contrary, </w:t>
      </w:r>
      <w:r w:rsidR="00BC0293" w:rsidRPr="00CE1D35">
        <w:rPr>
          <w:b/>
          <w:bCs/>
        </w:rPr>
        <w:t xml:space="preserve">access is an important consideration in </w:t>
      </w:r>
      <w:r w:rsidR="007F1D0C" w:rsidRPr="00CE1D35">
        <w:rPr>
          <w:b/>
          <w:bCs/>
          <w:i/>
          <w:iCs/>
        </w:rPr>
        <w:t xml:space="preserve">all </w:t>
      </w:r>
      <w:r w:rsidR="007F1D0C" w:rsidRPr="00CE1D35">
        <w:rPr>
          <w:b/>
          <w:bCs/>
        </w:rPr>
        <w:t>forestry.</w:t>
      </w:r>
      <w:r w:rsidR="007F1D0C" w:rsidRPr="00CE1D35">
        <w:t xml:space="preserve"> In Scotland, there are legal requirements for land managers to respect access rights, but in practice there are widespread failings in the way forests are created and managed with regard to access rights. Forestry has </w:t>
      </w:r>
      <w:r w:rsidR="00BC0293" w:rsidRPr="00CE1D35">
        <w:t>often</w:t>
      </w:r>
      <w:r w:rsidR="007F1D0C" w:rsidRPr="00CE1D35">
        <w:t xml:space="preserve"> formed a block on public access across huge swathes of Scottish hillsides</w:t>
      </w:r>
      <w:r w:rsidR="00A22496" w:rsidRPr="00CE1D35">
        <w:t xml:space="preserve"> and effectively cuts off the right to roam. </w:t>
      </w:r>
      <w:r w:rsidR="007F1D0C" w:rsidRPr="00CE1D35">
        <w:t xml:space="preserve">We now have a situation where replanting of existing forests, along with </w:t>
      </w:r>
      <w:r w:rsidR="002B72D2" w:rsidRPr="00CE1D35">
        <w:t xml:space="preserve">accelerated planting </w:t>
      </w:r>
      <w:r w:rsidR="007F1D0C" w:rsidRPr="00CE1D35">
        <w:t xml:space="preserve">of new </w:t>
      </w:r>
      <w:r w:rsidR="002B72D2" w:rsidRPr="00CE1D35">
        <w:t>forestry</w:t>
      </w:r>
      <w:r w:rsidR="007F1D0C" w:rsidRPr="00CE1D35">
        <w:t>, has the potential to exacerbate this situation</w:t>
      </w:r>
      <w:r w:rsidR="00A22496" w:rsidRPr="00CE1D35">
        <w:t xml:space="preserve">, unless there is a </w:t>
      </w:r>
      <w:r w:rsidR="00A22496" w:rsidRPr="00CE1D35">
        <w:rPr>
          <w:b/>
          <w:bCs/>
        </w:rPr>
        <w:t>requirement to take public access into account in every forestry scheme</w:t>
      </w:r>
      <w:r w:rsidR="00A22496" w:rsidRPr="00CE1D35">
        <w:t>.</w:t>
      </w:r>
    </w:p>
    <w:p w14:paraId="77C9B00A" w14:textId="4910ECD3" w:rsidR="007F1D0C" w:rsidRPr="00CE1D35" w:rsidRDefault="007F1D0C" w:rsidP="007F1D0C">
      <w:r w:rsidRPr="00CE1D35">
        <w:t>This issue applies to local communities and to wider recreational users. Forested land is often important for local and daily exercise, and needs to be recognised as a subject for local consultation. Where properly accessible, forestry provide</w:t>
      </w:r>
      <w:r w:rsidR="00A22496" w:rsidRPr="00CE1D35">
        <w:t>s</w:t>
      </w:r>
      <w:r w:rsidRPr="00CE1D35">
        <w:t xml:space="preserve"> safe recreation opportunit</w:t>
      </w:r>
      <w:r w:rsidR="00A22496" w:rsidRPr="00CE1D35">
        <w:t>ies</w:t>
      </w:r>
      <w:r w:rsidR="00721204" w:rsidRPr="00CE1D35">
        <w:t>, whereas f</w:t>
      </w:r>
      <w:r w:rsidRPr="00CE1D35">
        <w:t>armland can be notoriously difficult to access.</w:t>
      </w:r>
      <w:r w:rsidR="00614793" w:rsidRPr="00CE1D35">
        <w:t xml:space="preserve"> Access needs to be planned in from the start of new planting applications. </w:t>
      </w:r>
      <w:r w:rsidRPr="00CE1D35">
        <w:t xml:space="preserve">  </w:t>
      </w:r>
    </w:p>
    <w:p w14:paraId="0F73650C" w14:textId="77777777" w:rsidR="007F1D0C" w:rsidRPr="00CE1D35" w:rsidRDefault="007F1D0C" w:rsidP="007F1D0C">
      <w:pPr>
        <w:pStyle w:val="Heading2"/>
        <w:rPr>
          <w:rFonts w:eastAsia="Arial"/>
        </w:rPr>
      </w:pPr>
      <w:bookmarkStart w:id="18" w:name="_Toc93249691"/>
      <w:r w:rsidRPr="00CE1D35">
        <w:rPr>
          <w:rFonts w:eastAsia="Arial"/>
        </w:rPr>
        <w:t>Evidence of the issue</w:t>
      </w:r>
      <w:bookmarkEnd w:id="18"/>
    </w:p>
    <w:p w14:paraId="14F2797A" w14:textId="77777777" w:rsidR="006A1549" w:rsidRPr="00CE1D35" w:rsidRDefault="006A1549" w:rsidP="007F1D0C">
      <w:r w:rsidRPr="00CE1D35">
        <w:t xml:space="preserve">There are clear benefits to local economies from recreational activities, with up to 18% of the economic value of forestry coming from recreation and tourism, supporting over 6,300 FTE jobs (CJC </w:t>
      </w:r>
      <w:r w:rsidRPr="00CE1D35">
        <w:lastRenderedPageBreak/>
        <w:t xml:space="preserve">Consulting, 2015). </w:t>
      </w:r>
    </w:p>
    <w:p w14:paraId="2C418580" w14:textId="07FD5BEF" w:rsidR="00091F3C" w:rsidRPr="00CE1D35" w:rsidRDefault="006A1549" w:rsidP="007F1D0C">
      <w:r w:rsidRPr="00CE1D35">
        <w:t xml:space="preserve">Yet the requirement </w:t>
      </w:r>
      <w:r w:rsidR="001E560B" w:rsidRPr="00CE1D35">
        <w:t xml:space="preserve">for access is widely abused. </w:t>
      </w:r>
      <w:r w:rsidR="007F1D0C" w:rsidRPr="00CE1D35">
        <w:t xml:space="preserve">Common issues documented by Ramblers Scotland are listed in Box </w:t>
      </w:r>
      <w:r w:rsidR="00CE1D35" w:rsidRPr="00CE1D35">
        <w:t>4</w:t>
      </w:r>
      <w:r w:rsidR="007F1D0C" w:rsidRPr="00CE1D35">
        <w:t xml:space="preserve">. </w:t>
      </w:r>
    </w:p>
    <w:p w14:paraId="49CB3FDF" w14:textId="77777777" w:rsidR="009468BA" w:rsidRPr="00CE1D35" w:rsidRDefault="009468BA" w:rsidP="009468BA">
      <w:r w:rsidRPr="00CE1D35">
        <w:rPr>
          <w:b/>
          <w:bCs/>
        </w:rPr>
        <w:t>Examples of good practice:</w:t>
      </w:r>
      <w:r w:rsidRPr="00CE1D35">
        <w:t xml:space="preserve"> </w:t>
      </w:r>
    </w:p>
    <w:p w14:paraId="155E3827" w14:textId="77777777" w:rsidR="009468BA" w:rsidRPr="00CE1D35" w:rsidRDefault="009468BA" w:rsidP="009468BA">
      <w:pPr>
        <w:pStyle w:val="ListParagraph"/>
        <w:numPr>
          <w:ilvl w:val="0"/>
          <w:numId w:val="33"/>
        </w:numPr>
      </w:pPr>
      <w:r w:rsidRPr="00CE1D35">
        <w:t xml:space="preserve">When Borders Forest Trust was proposing new planting at their </w:t>
      </w:r>
      <w:proofErr w:type="spellStart"/>
      <w:r w:rsidRPr="00CE1D35">
        <w:t>Corehead</w:t>
      </w:r>
      <w:proofErr w:type="spellEnd"/>
      <w:r w:rsidRPr="00CE1D35">
        <w:t xml:space="preserve"> site, they ran a consultation on access, with clear maps of proposed fences, styles and gates. Maps were annotated with explanation of thinking behind the location of access points. </w:t>
      </w:r>
    </w:p>
    <w:p w14:paraId="5A9CDBC6" w14:textId="77777777" w:rsidR="009468BA" w:rsidRPr="00CE1D35" w:rsidRDefault="009468BA" w:rsidP="009468BA">
      <w:pPr>
        <w:pStyle w:val="ListParagraph"/>
        <w:numPr>
          <w:ilvl w:val="0"/>
          <w:numId w:val="33"/>
        </w:numPr>
      </w:pPr>
      <w:r w:rsidRPr="00CE1D35">
        <w:t>New path networks –good examples of new woodland planting have created extensive path networks using unplanted forest rides, then signposting these paths to help the public enjoy routes around and through the woodland.  These are particularly important in areas close to centres of population where there is a high demand for access routes.</w:t>
      </w:r>
    </w:p>
    <w:p w14:paraId="4EA83031" w14:textId="77777777" w:rsidR="009468BA" w:rsidRPr="00CE1D35" w:rsidRDefault="009468BA" w:rsidP="009468BA">
      <w:pPr>
        <w:rPr>
          <w:b/>
          <w:bCs/>
        </w:rPr>
      </w:pPr>
      <w:r w:rsidRPr="00CE1D35">
        <w:rPr>
          <w:b/>
          <w:bCs/>
        </w:rPr>
        <w:t xml:space="preserve">Problems with signage: </w:t>
      </w:r>
    </w:p>
    <w:p w14:paraId="254DABE8" w14:textId="77777777" w:rsidR="009468BA" w:rsidRPr="00CE1D35" w:rsidRDefault="009468BA" w:rsidP="009468BA">
      <w:pPr>
        <w:pStyle w:val="ListParagraph"/>
        <w:numPr>
          <w:ilvl w:val="0"/>
          <w:numId w:val="34"/>
        </w:numPr>
      </w:pPr>
      <w:r w:rsidRPr="00CE1D35">
        <w:t xml:space="preserve">Forestry &amp; Land Scotland has generally shown high levels of good practice in its use of signage and other means of communications to alert the public when forestry operations are being carried out, such as informing representative bodies so that they can disseminate the information as well as on-the-site signage and web-based resources. </w:t>
      </w:r>
    </w:p>
    <w:p w14:paraId="2FC8B089" w14:textId="77777777" w:rsidR="009468BA" w:rsidRPr="00CE1D35" w:rsidRDefault="009468BA" w:rsidP="009468BA">
      <w:pPr>
        <w:pStyle w:val="ListParagraph"/>
        <w:numPr>
          <w:ilvl w:val="0"/>
          <w:numId w:val="34"/>
        </w:numPr>
      </w:pPr>
      <w:r w:rsidRPr="00CE1D35">
        <w:t xml:space="preserve">However, contractors employed by FLS have not always been so efficient. </w:t>
      </w:r>
    </w:p>
    <w:p w14:paraId="22AC5F28" w14:textId="7CF5769F" w:rsidR="009468BA" w:rsidRPr="00CE1D35" w:rsidRDefault="009468BA" w:rsidP="007F1D0C">
      <w:pPr>
        <w:pStyle w:val="ListParagraph"/>
        <w:numPr>
          <w:ilvl w:val="0"/>
          <w:numId w:val="34"/>
        </w:numPr>
      </w:pPr>
      <w:r w:rsidRPr="00CE1D35">
        <w:t xml:space="preserve">Community owners and local private estates tend to be more responsive and are able to pick up on any issues due to being able to keep a closer eye on contractors. </w:t>
      </w:r>
    </w:p>
    <w:p w14:paraId="4819A983" w14:textId="67BC1383" w:rsidR="007F1D0C" w:rsidRPr="00CE1D35" w:rsidRDefault="007F1D0C" w:rsidP="007F1D0C">
      <w:pPr>
        <w:pBdr>
          <w:top w:val="single" w:sz="4" w:space="1" w:color="auto"/>
          <w:left w:val="single" w:sz="4" w:space="4" w:color="auto"/>
          <w:bottom w:val="single" w:sz="4" w:space="1" w:color="auto"/>
          <w:right w:val="single" w:sz="4" w:space="4" w:color="auto"/>
        </w:pBdr>
        <w:rPr>
          <w:b/>
          <w:bCs/>
        </w:rPr>
      </w:pPr>
      <w:r w:rsidRPr="00CE1D35">
        <w:rPr>
          <w:b/>
          <w:bCs/>
        </w:rPr>
        <w:t xml:space="preserve">Box </w:t>
      </w:r>
      <w:r w:rsidR="00CE1D35" w:rsidRPr="00CE1D35">
        <w:rPr>
          <w:b/>
          <w:bCs/>
        </w:rPr>
        <w:t>4</w:t>
      </w:r>
      <w:r w:rsidRPr="00CE1D35">
        <w:rPr>
          <w:b/>
          <w:bCs/>
        </w:rPr>
        <w:t xml:space="preserve">. Issues which arise when public access isn’t fully considered in forestry planning, creation or management </w:t>
      </w:r>
    </w:p>
    <w:p w14:paraId="1B88E77A" w14:textId="023852FF" w:rsidR="007F1D0C" w:rsidRPr="00CE1D35" w:rsidRDefault="007F1D0C" w:rsidP="007F1D0C">
      <w:pPr>
        <w:pStyle w:val="ListParagraph"/>
        <w:numPr>
          <w:ilvl w:val="0"/>
          <w:numId w:val="17"/>
        </w:numPr>
        <w:pBdr>
          <w:top w:val="single" w:sz="4" w:space="1" w:color="auto"/>
          <w:left w:val="single" w:sz="4" w:space="4" w:color="auto"/>
          <w:bottom w:val="single" w:sz="4" w:space="1" w:color="auto"/>
          <w:right w:val="single" w:sz="4" w:space="4" w:color="auto"/>
        </w:pBdr>
      </w:pPr>
      <w:r w:rsidRPr="00CE1D35">
        <w:t>Existing patterns of access are usually only considered if they form a core path or right of way.  Well established routes may be ignored, especially if consultation is limited and doesn’t fully engage local communities or recreation bodies.  This has led to popular paths being planted over or being ploughed up during harvesting operations without being reinstated afterwards.</w:t>
      </w:r>
    </w:p>
    <w:p w14:paraId="6E24E179" w14:textId="5F8D812A" w:rsidR="007F1D0C" w:rsidRPr="00CE1D35" w:rsidRDefault="007F1D0C" w:rsidP="007F1D0C">
      <w:pPr>
        <w:pStyle w:val="ListParagraph"/>
        <w:numPr>
          <w:ilvl w:val="0"/>
          <w:numId w:val="17"/>
        </w:numPr>
        <w:pBdr>
          <w:top w:val="single" w:sz="4" w:space="1" w:color="auto"/>
          <w:left w:val="single" w:sz="4" w:space="4" w:color="auto"/>
          <w:bottom w:val="single" w:sz="4" w:space="1" w:color="auto"/>
          <w:right w:val="single" w:sz="4" w:space="4" w:color="auto"/>
        </w:pBdr>
      </w:pPr>
      <w:r w:rsidRPr="00CE1D35">
        <w:t xml:space="preserve">Long stretches of deer fencing form a block on access across huge tracts of land, and are a </w:t>
      </w:r>
      <w:r w:rsidR="008746C5" w:rsidRPr="00CE1D35">
        <w:t xml:space="preserve">safety </w:t>
      </w:r>
      <w:r w:rsidRPr="00CE1D35">
        <w:t xml:space="preserve">concern </w:t>
      </w:r>
      <w:r w:rsidR="008746C5" w:rsidRPr="00CE1D35">
        <w:t xml:space="preserve">for </w:t>
      </w:r>
      <w:r w:rsidRPr="00CE1D35">
        <w:t>hillwalker</w:t>
      </w:r>
      <w:r w:rsidR="008746C5" w:rsidRPr="00CE1D35">
        <w:t>s</w:t>
      </w:r>
      <w:r w:rsidRPr="00CE1D35">
        <w:t xml:space="preserve"> coming off </w:t>
      </w:r>
      <w:r w:rsidR="008746C5" w:rsidRPr="00CE1D35">
        <w:t>the</w:t>
      </w:r>
      <w:r w:rsidRPr="00CE1D35">
        <w:t xml:space="preserve"> hill.  Access points, such as stiles, can be few and far between away from paths</w:t>
      </w:r>
      <w:r w:rsidR="006A1549" w:rsidRPr="00CE1D35">
        <w:t xml:space="preserve">. Yet (in Scotland) </w:t>
      </w:r>
      <w:r w:rsidRPr="00CE1D35">
        <w:t>access rights apply across all land and managers should recognise that people may approach the forest away from paths. (This is specifically covered in the Scottish Outdoor Access Code (SOAC), para 4.9).</w:t>
      </w:r>
    </w:p>
    <w:p w14:paraId="27DF00E3" w14:textId="77777777" w:rsidR="007F1D0C" w:rsidRPr="00CE1D35" w:rsidRDefault="007F1D0C" w:rsidP="007F1D0C">
      <w:pPr>
        <w:pStyle w:val="ListParagraph"/>
        <w:numPr>
          <w:ilvl w:val="0"/>
          <w:numId w:val="17"/>
        </w:numPr>
        <w:pBdr>
          <w:top w:val="single" w:sz="4" w:space="1" w:color="auto"/>
          <w:left w:val="single" w:sz="4" w:space="4" w:color="auto"/>
          <w:bottom w:val="single" w:sz="4" w:space="1" w:color="auto"/>
          <w:right w:val="single" w:sz="4" w:space="4" w:color="auto"/>
        </w:pBdr>
      </w:pPr>
      <w:r w:rsidRPr="00CE1D35">
        <w:t xml:space="preserve">Locked gates across vehicle tracks form a block on access for everyone.  If there is a stile or a kissing gate next to the gate that is better than nothing, but these still affect those who are less able, dog walkers, cyclists and </w:t>
      </w:r>
      <w:proofErr w:type="spellStart"/>
      <w:r w:rsidRPr="00CE1D35">
        <w:t>horseriders</w:t>
      </w:r>
      <w:proofErr w:type="spellEnd"/>
      <w:r w:rsidRPr="00CE1D35">
        <w:t>.  If a gate needs to be locked for management reasons there should be a self-closing gate installed next to it.  (See SOAC, para 4.9).</w:t>
      </w:r>
    </w:p>
    <w:p w14:paraId="4447EBD4" w14:textId="77777777" w:rsidR="00CE1D35" w:rsidRPr="00CE1D35" w:rsidRDefault="007F1D0C" w:rsidP="007F1D0C">
      <w:pPr>
        <w:pStyle w:val="ListParagraph"/>
        <w:numPr>
          <w:ilvl w:val="0"/>
          <w:numId w:val="17"/>
        </w:numPr>
        <w:pBdr>
          <w:top w:val="single" w:sz="4" w:space="1" w:color="auto"/>
          <w:left w:val="single" w:sz="4" w:space="4" w:color="auto"/>
          <w:bottom w:val="single" w:sz="4" w:space="1" w:color="auto"/>
          <w:right w:val="single" w:sz="4" w:space="4" w:color="auto"/>
        </w:pBdr>
      </w:pPr>
      <w:r w:rsidRPr="00CE1D35">
        <w:t>Poor use of signage to manage access during forestry operations has led to a culture of mistrust in signs, which often means walkers and other recreation users ignore signs and this can put them at risk of injury.</w:t>
      </w:r>
    </w:p>
    <w:p w14:paraId="3131BF0F" w14:textId="004E459D" w:rsidR="007F1D0C" w:rsidRPr="00CE1D35" w:rsidRDefault="00CE1D35" w:rsidP="00CE1D35">
      <w:pPr>
        <w:pBdr>
          <w:top w:val="single" w:sz="4" w:space="1" w:color="auto"/>
          <w:left w:val="single" w:sz="4" w:space="4" w:color="auto"/>
          <w:bottom w:val="single" w:sz="4" w:space="1" w:color="auto"/>
          <w:right w:val="single" w:sz="4" w:space="4" w:color="auto"/>
        </w:pBdr>
      </w:pPr>
      <w:r w:rsidRPr="00CE1D35">
        <w:t>Source: Ramblers</w:t>
      </w:r>
      <w:r w:rsidR="007F1D0C" w:rsidRPr="00CE1D35">
        <w:t xml:space="preserve"> </w:t>
      </w:r>
      <w:r w:rsidRPr="00CE1D35">
        <w:t>Scotland</w:t>
      </w:r>
    </w:p>
    <w:p w14:paraId="280A1D75" w14:textId="32D35B6F" w:rsidR="007F1D0C" w:rsidRPr="00CE1D35" w:rsidRDefault="00835A07" w:rsidP="007F1D0C">
      <w:pPr>
        <w:pStyle w:val="Heading2"/>
        <w:rPr>
          <w:rFonts w:eastAsia="Arial"/>
        </w:rPr>
      </w:pPr>
      <w:bookmarkStart w:id="19" w:name="_Toc93249692"/>
      <w:r w:rsidRPr="00CE1D35">
        <w:rPr>
          <w:rFonts w:eastAsia="Arial"/>
        </w:rPr>
        <w:t>Recommended</w:t>
      </w:r>
      <w:r w:rsidR="007F1D0C" w:rsidRPr="00CE1D35">
        <w:rPr>
          <w:rFonts w:eastAsia="Arial"/>
        </w:rPr>
        <w:t xml:space="preserve"> changes</w:t>
      </w:r>
      <w:bookmarkEnd w:id="19"/>
      <w:r w:rsidR="007F1D0C" w:rsidRPr="00CE1D35">
        <w:rPr>
          <w:rFonts w:eastAsia="Arial"/>
        </w:rPr>
        <w:t xml:space="preserve"> </w:t>
      </w:r>
    </w:p>
    <w:p w14:paraId="008958D0" w14:textId="72D7CDE4" w:rsidR="007A3B35" w:rsidRPr="00CE1D35" w:rsidRDefault="007A3B35" w:rsidP="007A3B35">
      <w:pPr>
        <w:rPr>
          <w:rFonts w:eastAsia="Times New Roman"/>
        </w:rPr>
      </w:pPr>
      <w:r w:rsidRPr="00CE1D35">
        <w:rPr>
          <w:rFonts w:eastAsia="Times New Roman"/>
        </w:rPr>
        <w:t>An access management plan should become a requirement for all large or sensitive woodland creation proposals</w:t>
      </w:r>
      <w:r w:rsidR="00CF0DD8" w:rsidRPr="00CE1D35">
        <w:rPr>
          <w:rFonts w:eastAsia="Times New Roman"/>
        </w:rPr>
        <w:t>, and for forest management plans.</w:t>
      </w:r>
    </w:p>
    <w:p w14:paraId="2CEFF75C" w14:textId="77777777" w:rsidR="00C24F8C" w:rsidRPr="00CE1D35" w:rsidRDefault="007F1D0C" w:rsidP="007F1D0C">
      <w:r w:rsidRPr="00CE1D35">
        <w:lastRenderedPageBreak/>
        <w:t xml:space="preserve">Access and recreation must be recognised as </w:t>
      </w:r>
      <w:r w:rsidRPr="00CE1D35">
        <w:rPr>
          <w:b/>
          <w:bCs/>
        </w:rPr>
        <w:t>relevant to all forest management and creation</w:t>
      </w:r>
      <w:r w:rsidRPr="00CE1D35">
        <w:t>. Guidance may be used to set a minimum area or proximity to community</w:t>
      </w:r>
      <w:r w:rsidR="00C24F8C" w:rsidRPr="00CE1D35">
        <w:t xml:space="preserve">. </w:t>
      </w:r>
    </w:p>
    <w:p w14:paraId="2718CEE0" w14:textId="3FA4B63C" w:rsidR="007F1D0C" w:rsidRPr="00CE1D35" w:rsidRDefault="00C24F8C" w:rsidP="007F1D0C">
      <w:r w:rsidRPr="00CE1D35">
        <w:t>F</w:t>
      </w:r>
      <w:r w:rsidR="007F1D0C" w:rsidRPr="00CE1D35">
        <w:t xml:space="preserve">orest agents </w:t>
      </w:r>
      <w:r w:rsidRPr="00CE1D35">
        <w:t xml:space="preserve">cannot </w:t>
      </w:r>
      <w:r w:rsidR="007F1D0C" w:rsidRPr="00CE1D35">
        <w:t xml:space="preserve">second-guess which areas and routes are most important to users, and consultation is necessary. </w:t>
      </w:r>
    </w:p>
    <w:p w14:paraId="7DC5202B" w14:textId="77777777" w:rsidR="007F1D0C" w:rsidRPr="00CE1D35" w:rsidRDefault="007F1D0C" w:rsidP="007F1D0C">
      <w:r w:rsidRPr="00CE1D35">
        <w:t xml:space="preserve">Forestry planning – existing patterns of access and opportunities for greater public use of the forest should be mapped at the forestry planning stage, by involving the local community and communities of interest in developing an access management plan for woodlands over a certain threshold area, or near a community.  </w:t>
      </w:r>
    </w:p>
    <w:p w14:paraId="0E7005B0" w14:textId="77777777" w:rsidR="007F1D0C" w:rsidRPr="00CE1D35" w:rsidRDefault="007F1D0C" w:rsidP="007F1D0C">
      <w:r w:rsidRPr="00CE1D35">
        <w:t>For harvesting and replanting operations, a new access management plan should be required. For example, if fencing is to be used, the plan should outline where regular access points will be created, both on established routes and at other points in the fence to enable access to the land away from paths.  Any gates or path infrastructure should be suitable for those walking, wheeling, cycling or on a horse, and where appropriate, land managers should work with local communities to support cultural or educational activities which may take place within the woodlands.</w:t>
      </w:r>
    </w:p>
    <w:p w14:paraId="7A96F259" w14:textId="77777777" w:rsidR="007F1D0C" w:rsidRPr="00CE1D35" w:rsidRDefault="007F1D0C" w:rsidP="007F1D0C">
      <w:r w:rsidRPr="00CE1D35">
        <w:t xml:space="preserve">Better engagement with local communities and (in more popular areas) other stakeholders would lead to improved outcomes.  </w:t>
      </w:r>
    </w:p>
    <w:p w14:paraId="37B5AA3C" w14:textId="5B06E3FB" w:rsidR="00234F4C" w:rsidRPr="00CE1D35" w:rsidRDefault="00234F4C" w:rsidP="00234F4C">
      <w:pPr>
        <w:rPr>
          <w:rFonts w:eastAsia="Times New Roman"/>
          <w:b/>
          <w:bCs/>
        </w:rPr>
      </w:pPr>
      <w:r w:rsidRPr="00CE1D35">
        <w:rPr>
          <w:rFonts w:eastAsia="Times New Roman"/>
          <w:b/>
          <w:bCs/>
        </w:rPr>
        <w:t>Additional guidance and support</w:t>
      </w:r>
      <w:r w:rsidR="007453EA" w:rsidRPr="00CE1D35">
        <w:rPr>
          <w:rFonts w:eastAsia="Times New Roman"/>
          <w:b/>
          <w:bCs/>
        </w:rPr>
        <w:t xml:space="preserve"> will be needed</w:t>
      </w:r>
      <w:r w:rsidRPr="00CE1D35">
        <w:rPr>
          <w:rFonts w:eastAsia="Times New Roman"/>
          <w:b/>
          <w:bCs/>
        </w:rPr>
        <w:t xml:space="preserve">: </w:t>
      </w:r>
    </w:p>
    <w:p w14:paraId="4F508D7F" w14:textId="77777777" w:rsidR="00234F4C" w:rsidRPr="00CE1D35" w:rsidRDefault="00234F4C" w:rsidP="00234F4C">
      <w:pPr>
        <w:pStyle w:val="default-style"/>
        <w:numPr>
          <w:ilvl w:val="0"/>
          <w:numId w:val="27"/>
        </w:numPr>
        <w:rPr>
          <w:rFonts w:eastAsia="Times New Roman"/>
        </w:rPr>
      </w:pPr>
      <w:r w:rsidRPr="00CE1D35">
        <w:rPr>
          <w:rFonts w:eastAsia="Times New Roman"/>
        </w:rPr>
        <w:t>Guidance for regulators, landowners/managers &amp; public on how forestry expected to deliver responsibilities under part 1 of Land Reform (Scotland) Act 2003</w:t>
      </w:r>
    </w:p>
    <w:p w14:paraId="605128D6" w14:textId="77777777" w:rsidR="00234F4C" w:rsidRPr="00CE1D35" w:rsidRDefault="00234F4C" w:rsidP="00234F4C">
      <w:pPr>
        <w:pStyle w:val="default-style"/>
        <w:numPr>
          <w:ilvl w:val="0"/>
          <w:numId w:val="27"/>
        </w:numPr>
        <w:rPr>
          <w:rFonts w:eastAsia="Times New Roman"/>
        </w:rPr>
      </w:pPr>
      <w:r w:rsidRPr="00CE1D35">
        <w:rPr>
          <w:rFonts w:eastAsia="Times New Roman"/>
        </w:rPr>
        <w:t>Support for landowners/managers to meet responsibilities</w:t>
      </w:r>
    </w:p>
    <w:p w14:paraId="24988292" w14:textId="77777777" w:rsidR="00234F4C" w:rsidRPr="00CE1D35" w:rsidRDefault="00234F4C" w:rsidP="00234F4C">
      <w:pPr>
        <w:pStyle w:val="default-style"/>
        <w:numPr>
          <w:ilvl w:val="0"/>
          <w:numId w:val="27"/>
        </w:numPr>
        <w:rPr>
          <w:rFonts w:eastAsia="Times New Roman"/>
        </w:rPr>
      </w:pPr>
      <w:r w:rsidRPr="00CE1D35">
        <w:rPr>
          <w:rFonts w:eastAsia="Times New Roman"/>
        </w:rPr>
        <w:t>Updated guidance for public on how to take access responsibly</w:t>
      </w:r>
    </w:p>
    <w:p w14:paraId="0BDC3021" w14:textId="77777777" w:rsidR="007F1D0C" w:rsidRPr="00CE1D35" w:rsidRDefault="007F1D0C" w:rsidP="007F1D0C">
      <w:pPr>
        <w:pStyle w:val="Heading1"/>
      </w:pPr>
      <w:bookmarkStart w:id="20" w:name="_Toc93249693"/>
      <w:r w:rsidRPr="00CE1D35">
        <w:t>Biodiversity</w:t>
      </w:r>
      <w:bookmarkEnd w:id="20"/>
    </w:p>
    <w:p w14:paraId="192F15C4" w14:textId="77777777" w:rsidR="007F1D0C" w:rsidRPr="00CE1D35" w:rsidRDefault="007F1D0C" w:rsidP="007F1D0C">
      <w:pPr>
        <w:pStyle w:val="Heading2"/>
      </w:pPr>
      <w:bookmarkStart w:id="21" w:name="_Toc93249694"/>
      <w:r w:rsidRPr="00CE1D35">
        <w:t>Why ‘People’ are part of this issue</w:t>
      </w:r>
      <w:bookmarkEnd w:id="21"/>
    </w:p>
    <w:p w14:paraId="6F23DFBC" w14:textId="467BA426" w:rsidR="007F1D0C" w:rsidRPr="00CE1D35" w:rsidRDefault="007F1D0C" w:rsidP="007F1D0C">
      <w:r w:rsidRPr="00CE1D35">
        <w:t>Local people are sources of knowledge about biodiversity</w:t>
      </w:r>
      <w:r w:rsidR="00B13D1A" w:rsidRPr="00CE1D35">
        <w:t xml:space="preserve">, and are also directly impacted by its loss. </w:t>
      </w:r>
    </w:p>
    <w:p w14:paraId="701E8D11" w14:textId="3BF5396B" w:rsidR="004C5011" w:rsidRPr="00CE1D35" w:rsidRDefault="004C5011" w:rsidP="007F1D0C">
      <w:pPr>
        <w:rPr>
          <w:rFonts w:eastAsia="Times New Roman"/>
        </w:rPr>
      </w:pPr>
      <w:r w:rsidRPr="00CE1D35">
        <w:rPr>
          <w:rFonts w:eastAsia="Times New Roman"/>
        </w:rPr>
        <w:t>Relevant species records are held by Local Record Centres</w:t>
      </w:r>
      <w:r w:rsidR="00794DB1" w:rsidRPr="00CE1D35">
        <w:rPr>
          <w:rFonts w:eastAsia="Times New Roman"/>
        </w:rPr>
        <w:t xml:space="preserve">, but these are not </w:t>
      </w:r>
      <w:r w:rsidR="00AB3150" w:rsidRPr="00CE1D35">
        <w:rPr>
          <w:rFonts w:eastAsia="Times New Roman"/>
        </w:rPr>
        <w:t xml:space="preserve">listed as </w:t>
      </w:r>
      <w:r w:rsidR="00E3753C" w:rsidRPr="00CE1D35">
        <w:rPr>
          <w:rFonts w:eastAsia="Times New Roman"/>
        </w:rPr>
        <w:t>data sources in UKFS 2017</w:t>
      </w:r>
      <w:r w:rsidR="00CE1D35" w:rsidRPr="00CE1D35">
        <w:rPr>
          <w:rFonts w:eastAsia="Times New Roman"/>
        </w:rPr>
        <w:t xml:space="preserve"> (Box 5).</w:t>
      </w:r>
    </w:p>
    <w:p w14:paraId="3583AE9A" w14:textId="57312A72" w:rsidR="006E4850" w:rsidRPr="00CE1D35" w:rsidRDefault="006E4850" w:rsidP="009468BA">
      <w:pPr>
        <w:pBdr>
          <w:top w:val="single" w:sz="4" w:space="1" w:color="auto"/>
          <w:left w:val="single" w:sz="4" w:space="4" w:color="auto"/>
          <w:bottom w:val="single" w:sz="4" w:space="1" w:color="auto"/>
          <w:right w:val="single" w:sz="4" w:space="4" w:color="auto"/>
        </w:pBdr>
        <w:rPr>
          <w:b/>
          <w:bCs/>
        </w:rPr>
      </w:pPr>
      <w:r w:rsidRPr="00CE1D35">
        <w:rPr>
          <w:b/>
          <w:bCs/>
        </w:rPr>
        <w:t xml:space="preserve">Box </w:t>
      </w:r>
      <w:r w:rsidR="00CE1D35" w:rsidRPr="00CE1D35">
        <w:rPr>
          <w:b/>
          <w:bCs/>
        </w:rPr>
        <w:t>5</w:t>
      </w:r>
      <w:r w:rsidRPr="00CE1D35">
        <w:rPr>
          <w:b/>
          <w:bCs/>
        </w:rPr>
        <w:t>. Extract from The Southern Uplands Partnership position statement on trees, forests and woodland:</w:t>
      </w:r>
    </w:p>
    <w:p w14:paraId="48F6AB43" w14:textId="5CD29113" w:rsidR="00BC0494" w:rsidRPr="00CE1D35" w:rsidRDefault="006E4850" w:rsidP="009468BA">
      <w:pPr>
        <w:pBdr>
          <w:top w:val="single" w:sz="4" w:space="1" w:color="auto"/>
          <w:left w:val="single" w:sz="4" w:space="4" w:color="auto"/>
          <w:bottom w:val="single" w:sz="4" w:space="1" w:color="auto"/>
          <w:right w:val="single" w:sz="4" w:space="4" w:color="auto"/>
        </w:pBdr>
      </w:pPr>
      <w:r w:rsidRPr="00CE1D35">
        <w:rPr>
          <w:rFonts w:eastAsia="Times New Roman"/>
        </w:rPr>
        <w:t>“</w:t>
      </w:r>
      <w:r w:rsidR="00A420D2" w:rsidRPr="00CE1D35">
        <w:rPr>
          <w:rFonts w:eastAsia="Times New Roman"/>
        </w:rPr>
        <w:t xml:space="preserve">Biodiversity knowledge is reliant on recorders, often ‘local people’, and for more specialist species groups, members of ‘communities of interest’. </w:t>
      </w:r>
      <w:r w:rsidR="00A420D2" w:rsidRPr="00CE1D35">
        <w:t>We have previously suggested that a quick and cost-effective win would be to require all new planting proposals to be screened by Biological Record Centres to identify possible sites of ecological value. This would allow plans to be modified at an early stage and would reduce the chances of planting on valuable sites.</w:t>
      </w:r>
      <w:r w:rsidRPr="00CE1D35">
        <w:t>”</w:t>
      </w:r>
      <w:r w:rsidR="00A420D2" w:rsidRPr="00CE1D35">
        <w:t xml:space="preserve"> </w:t>
      </w:r>
      <w:r w:rsidRPr="00CE1D35">
        <w:t>(</w:t>
      </w:r>
      <w:r w:rsidR="00A420D2" w:rsidRPr="00CE1D35">
        <w:t>SUP 2021</w:t>
      </w:r>
      <w:r w:rsidRPr="00CE1D35">
        <w:t>)</w:t>
      </w:r>
    </w:p>
    <w:p w14:paraId="0A03A2E2" w14:textId="77777777" w:rsidR="009468BA" w:rsidRPr="00CE1D35" w:rsidRDefault="009468BA" w:rsidP="009468BA"/>
    <w:p w14:paraId="4E4B1353" w14:textId="4B499599" w:rsidR="007F1D0C" w:rsidRPr="00CE1D35" w:rsidRDefault="007F1D0C" w:rsidP="007F1D0C">
      <w:pPr>
        <w:pStyle w:val="Heading2"/>
        <w:rPr>
          <w:rFonts w:eastAsia="Arial"/>
        </w:rPr>
      </w:pPr>
      <w:bookmarkStart w:id="22" w:name="_Toc93249695"/>
      <w:r w:rsidRPr="00CE1D35">
        <w:rPr>
          <w:rFonts w:eastAsia="Arial"/>
        </w:rPr>
        <w:t>Evidence of the issue</w:t>
      </w:r>
      <w:bookmarkEnd w:id="22"/>
    </w:p>
    <w:p w14:paraId="4471225D" w14:textId="76CAA3D0" w:rsidR="00791919" w:rsidRPr="00CE1D35" w:rsidRDefault="00791919" w:rsidP="00791919">
      <w:r w:rsidRPr="00CE1D35">
        <w:t xml:space="preserve">Early evidence from the review of community experiences, indicates that a common problem is lack of transparency in data sharing. Community councils report that Phase 1 Habitat Surveys are not always shared to help them form their views about a Woodland Creation proposal. One example showed that a survey was withheld (against the advice of Scottish Forestry) on the basis that it was </w:t>
      </w:r>
      <w:r w:rsidRPr="00CE1D35">
        <w:lastRenderedPageBreak/>
        <w:t xml:space="preserve">funded by private money and was therefore private information. </w:t>
      </w:r>
    </w:p>
    <w:p w14:paraId="313143E0" w14:textId="5B795A0B" w:rsidR="007F1D0C" w:rsidRPr="00CE1D35" w:rsidRDefault="007F1D0C" w:rsidP="007F1D0C">
      <w:r w:rsidRPr="00CE1D35">
        <w:t xml:space="preserve">The </w:t>
      </w:r>
      <w:r w:rsidRPr="00CE1D35">
        <w:rPr>
          <w:b/>
          <w:bCs/>
        </w:rPr>
        <w:t xml:space="preserve">SUP / BFT study </w:t>
      </w:r>
      <w:r w:rsidRPr="00CE1D35">
        <w:t xml:space="preserve">particularly Table 8 provides detailed evidence on this issue. </w:t>
      </w:r>
      <w:r w:rsidR="00FC7DDC" w:rsidRPr="00CE1D35">
        <w:t xml:space="preserve">A quick win was identified as: </w:t>
      </w:r>
    </w:p>
    <w:p w14:paraId="29E183ED" w14:textId="754FEAFE" w:rsidR="00FC7DDC" w:rsidRPr="00CE1D35" w:rsidRDefault="00FC7DDC" w:rsidP="007F1D0C">
      <w:pPr>
        <w:pStyle w:val="Default"/>
        <w:numPr>
          <w:ilvl w:val="0"/>
          <w:numId w:val="36"/>
        </w:numPr>
        <w:rPr>
          <w:sz w:val="22"/>
          <w:szCs w:val="22"/>
        </w:rPr>
      </w:pPr>
      <w:r w:rsidRPr="00CE1D35">
        <w:rPr>
          <w:sz w:val="22"/>
          <w:szCs w:val="22"/>
        </w:rPr>
        <w:t xml:space="preserve">Improve (free) availability of data to ensure the applicant doesn’t have to fund new species or habitat surveys. </w:t>
      </w:r>
      <w:r w:rsidR="00791919" w:rsidRPr="00CE1D35">
        <w:rPr>
          <w:sz w:val="22"/>
          <w:szCs w:val="22"/>
        </w:rPr>
        <w:br/>
      </w:r>
    </w:p>
    <w:p w14:paraId="520537F2" w14:textId="77777777" w:rsidR="00B04A90" w:rsidRPr="00CE1D35" w:rsidRDefault="007F1D0C" w:rsidP="007F1D0C">
      <w:r w:rsidRPr="00CE1D35">
        <w:t xml:space="preserve">Local authorities contributing to this paper also pointed to the failure of new afforestation applications to take into account data held by Local Record Centres. </w:t>
      </w:r>
    </w:p>
    <w:p w14:paraId="42E293A9" w14:textId="63E23203" w:rsidR="007F1D0C" w:rsidRPr="00CE1D35" w:rsidRDefault="00B04A90" w:rsidP="007F1D0C">
      <w:r w:rsidRPr="00CE1D35">
        <w:t xml:space="preserve">An example from the forthcoming study of community experience is given in Box </w:t>
      </w:r>
      <w:r w:rsidR="00CE1D35" w:rsidRPr="00CE1D35">
        <w:t>6</w:t>
      </w:r>
      <w:r w:rsidRPr="00CE1D35">
        <w:t xml:space="preserve">. While this </w:t>
      </w:r>
      <w:r w:rsidR="007F1D0C" w:rsidRPr="00CE1D35">
        <w:t xml:space="preserve">was provided as an example of good practice, it is remarkable that a red-listed plant was not otherwise known to the agent and highlights the need for proactive involvement of local expertise. </w:t>
      </w:r>
    </w:p>
    <w:p w14:paraId="0947810E" w14:textId="23CA4360" w:rsidR="007F1D0C" w:rsidRPr="00CE1D35" w:rsidRDefault="007F1D0C" w:rsidP="007F1D0C">
      <w:pPr>
        <w:pBdr>
          <w:top w:val="single" w:sz="4" w:space="1" w:color="auto"/>
          <w:left w:val="single" w:sz="4" w:space="1" w:color="auto"/>
          <w:bottom w:val="single" w:sz="4" w:space="1" w:color="auto"/>
          <w:right w:val="single" w:sz="4" w:space="1" w:color="auto"/>
        </w:pBdr>
        <w:rPr>
          <w:b/>
          <w:bCs/>
          <w:shd w:val="clear" w:color="auto" w:fill="FEFFFF"/>
          <w:lang w:val="da-DK"/>
        </w:rPr>
      </w:pPr>
      <w:r w:rsidRPr="00CE1D35">
        <w:rPr>
          <w:b/>
          <w:bCs/>
          <w:shd w:val="clear" w:color="auto" w:fill="FEFFFF"/>
          <w:lang w:val="da-DK"/>
        </w:rPr>
        <w:t xml:space="preserve">Box </w:t>
      </w:r>
      <w:r w:rsidR="00CE1D35" w:rsidRPr="00CE1D35">
        <w:rPr>
          <w:b/>
          <w:bCs/>
          <w:shd w:val="clear" w:color="auto" w:fill="FEFFFF"/>
          <w:lang w:val="da-DK"/>
        </w:rPr>
        <w:t>6</w:t>
      </w:r>
      <w:r w:rsidRPr="00CE1D35">
        <w:rPr>
          <w:b/>
          <w:bCs/>
          <w:shd w:val="clear" w:color="auto" w:fill="FEFFFF"/>
          <w:lang w:val="da-DK"/>
        </w:rPr>
        <w:t>. An example of good experience of using local biodiversity expertise</w:t>
      </w:r>
    </w:p>
    <w:p w14:paraId="172EB494" w14:textId="5F29281E" w:rsidR="007F1D0C" w:rsidRPr="00CE1D35" w:rsidRDefault="0073798A" w:rsidP="007F1D0C">
      <w:pPr>
        <w:pBdr>
          <w:top w:val="single" w:sz="4" w:space="1" w:color="auto"/>
          <w:left w:val="single" w:sz="4" w:space="1" w:color="auto"/>
          <w:bottom w:val="single" w:sz="4" w:space="1" w:color="auto"/>
          <w:right w:val="single" w:sz="4" w:space="1" w:color="auto"/>
        </w:pBdr>
        <w:rPr>
          <w:rFonts w:eastAsia="Helvetica"/>
          <w:shd w:val="clear" w:color="auto" w:fill="FEFFFF"/>
        </w:rPr>
      </w:pPr>
      <w:r w:rsidRPr="00CE1D35">
        <w:rPr>
          <w:shd w:val="clear" w:color="auto" w:fill="FEFFFF"/>
          <w:lang w:val="da-DK"/>
        </w:rPr>
        <w:t>A forest agent</w:t>
      </w:r>
      <w:r w:rsidR="007F1D0C" w:rsidRPr="00CE1D35">
        <w:rPr>
          <w:shd w:val="clear" w:color="auto" w:fill="FEFFFF"/>
        </w:rPr>
        <w:t xml:space="preserve"> working for one of the major FM companies made early contact </w:t>
      </w:r>
      <w:r w:rsidR="007F1D0C" w:rsidRPr="00CE1D35">
        <w:rPr>
          <w:rFonts w:eastAsia="Helvetica"/>
          <w:shd w:val="clear" w:color="auto" w:fill="FEFFFF"/>
        </w:rPr>
        <w:t xml:space="preserve">in </w:t>
      </w:r>
      <w:r w:rsidR="007F1D0C" w:rsidRPr="00CE1D35">
        <w:rPr>
          <w:shd w:val="clear" w:color="auto" w:fill="FEFFFF"/>
        </w:rPr>
        <w:t>2019</w:t>
      </w:r>
      <w:r w:rsidR="000A4F90" w:rsidRPr="00CE1D35">
        <w:rPr>
          <w:shd w:val="clear" w:color="auto" w:fill="FEFFFF"/>
        </w:rPr>
        <w:t xml:space="preserve"> with a range of organisations as non-statutory consultees</w:t>
      </w:r>
      <w:r w:rsidR="007F1D0C" w:rsidRPr="00CE1D35">
        <w:rPr>
          <w:shd w:val="clear" w:color="auto" w:fill="FEFFFF"/>
        </w:rPr>
        <w:t xml:space="preserve">, about a very large </w:t>
      </w:r>
      <w:r w:rsidR="000A4F90" w:rsidRPr="00CE1D35">
        <w:rPr>
          <w:shd w:val="clear" w:color="auto" w:fill="FEFFFF"/>
        </w:rPr>
        <w:t xml:space="preserve">proposed planting scheme </w:t>
      </w:r>
      <w:r w:rsidR="007F1D0C" w:rsidRPr="00CE1D35">
        <w:rPr>
          <w:shd w:val="clear" w:color="auto" w:fill="FEFFFF"/>
        </w:rPr>
        <w:t xml:space="preserve">(over 100ha) in Stirling Council area. </w:t>
      </w:r>
      <w:r w:rsidR="00B16C79" w:rsidRPr="00CE1D35">
        <w:rPr>
          <w:shd w:val="clear" w:color="auto" w:fill="FEFFFF"/>
        </w:rPr>
        <w:t xml:space="preserve">The </w:t>
      </w:r>
      <w:r w:rsidR="007F1D0C" w:rsidRPr="00CE1D35">
        <w:rPr>
          <w:shd w:val="clear" w:color="auto" w:fill="FEFFFF"/>
        </w:rPr>
        <w:t>Local Wildlife Group</w:t>
      </w:r>
      <w:r w:rsidR="00B16C79" w:rsidRPr="00CE1D35">
        <w:rPr>
          <w:shd w:val="clear" w:color="auto" w:fill="FEFFFF"/>
        </w:rPr>
        <w:t xml:space="preserve"> </w:t>
      </w:r>
      <w:r w:rsidR="004F1B00" w:rsidRPr="00CE1D35">
        <w:rPr>
          <w:shd w:val="clear" w:color="auto" w:fill="FEFFFF"/>
        </w:rPr>
        <w:t xml:space="preserve">(LWG) </w:t>
      </w:r>
      <w:r w:rsidR="00B16C79" w:rsidRPr="00CE1D35">
        <w:rPr>
          <w:shd w:val="clear" w:color="auto" w:fill="FEFFFF"/>
        </w:rPr>
        <w:t>was</w:t>
      </w:r>
      <w:r w:rsidR="007F1D0C" w:rsidRPr="00CE1D35">
        <w:rPr>
          <w:shd w:val="clear" w:color="auto" w:fill="FEFFFF"/>
        </w:rPr>
        <w:t xml:space="preserve"> included on the advice of the Biodiversity Officer. The agent provided a </w:t>
      </w:r>
      <w:r w:rsidR="00B16C79" w:rsidRPr="00CE1D35">
        <w:rPr>
          <w:shd w:val="clear" w:color="auto" w:fill="FEFFFF"/>
        </w:rPr>
        <w:t>l</w:t>
      </w:r>
      <w:r w:rsidR="007F1D0C" w:rsidRPr="00CE1D35">
        <w:rPr>
          <w:shd w:val="clear" w:color="auto" w:fill="FEFFFF"/>
        </w:rPr>
        <w:t xml:space="preserve">ocation map and a </w:t>
      </w:r>
      <w:r w:rsidR="00B16C79" w:rsidRPr="00CE1D35">
        <w:rPr>
          <w:shd w:val="clear" w:color="auto" w:fill="FEFFFF"/>
        </w:rPr>
        <w:t>proposed s</w:t>
      </w:r>
      <w:r w:rsidR="007F1D0C" w:rsidRPr="00CE1D35">
        <w:rPr>
          <w:shd w:val="clear" w:color="auto" w:fill="FEFFFF"/>
        </w:rPr>
        <w:t xml:space="preserve">pecies map, </w:t>
      </w:r>
      <w:r w:rsidR="00B16C79" w:rsidRPr="00CE1D35">
        <w:rPr>
          <w:shd w:val="clear" w:color="auto" w:fill="FEFFFF"/>
        </w:rPr>
        <w:t xml:space="preserve">but </w:t>
      </w:r>
      <w:r w:rsidR="007F1D0C" w:rsidRPr="00CE1D35">
        <w:rPr>
          <w:shd w:val="clear" w:color="auto" w:fill="FEFFFF"/>
        </w:rPr>
        <w:t xml:space="preserve">no </w:t>
      </w:r>
      <w:r w:rsidR="00B16C79" w:rsidRPr="00CE1D35">
        <w:rPr>
          <w:shd w:val="clear" w:color="auto" w:fill="FEFFFF"/>
        </w:rPr>
        <w:t xml:space="preserve">other </w:t>
      </w:r>
      <w:r w:rsidR="007F1D0C" w:rsidRPr="00CE1D35">
        <w:rPr>
          <w:shd w:val="clear" w:color="auto" w:fill="FEFFFF"/>
        </w:rPr>
        <w:t xml:space="preserve">written information. </w:t>
      </w:r>
    </w:p>
    <w:p w14:paraId="75D257F8" w14:textId="04DA1C33" w:rsidR="007F1D0C" w:rsidRPr="00CE1D35" w:rsidRDefault="007F1D0C" w:rsidP="007F1D0C">
      <w:pPr>
        <w:pBdr>
          <w:top w:val="single" w:sz="4" w:space="1" w:color="auto"/>
          <w:left w:val="single" w:sz="4" w:space="1" w:color="auto"/>
          <w:bottom w:val="single" w:sz="4" w:space="1" w:color="auto"/>
          <w:right w:val="single" w:sz="4" w:space="1" w:color="auto"/>
        </w:pBdr>
        <w:rPr>
          <w:rFonts w:eastAsia="Helvetica"/>
          <w:shd w:val="clear" w:color="auto" w:fill="FEFFFF"/>
        </w:rPr>
      </w:pPr>
      <w:r w:rsidRPr="00CE1D35">
        <w:rPr>
          <w:shd w:val="clear" w:color="auto" w:fill="FEFFFF"/>
        </w:rPr>
        <w:t xml:space="preserve">He requested information </w:t>
      </w:r>
      <w:r w:rsidR="004F1B00" w:rsidRPr="00CE1D35">
        <w:rPr>
          <w:shd w:val="clear" w:color="auto" w:fill="FEFFFF"/>
        </w:rPr>
        <w:t xml:space="preserve">from the LWG </w:t>
      </w:r>
      <w:r w:rsidRPr="00CE1D35">
        <w:rPr>
          <w:shd w:val="clear" w:color="auto" w:fill="FEFFFF"/>
        </w:rPr>
        <w:t xml:space="preserve">about a very rare Red-Listed plant that the Biodiversity Officer </w:t>
      </w:r>
      <w:r w:rsidR="004F1B00" w:rsidRPr="00CE1D35">
        <w:rPr>
          <w:shd w:val="clear" w:color="auto" w:fill="FEFFFF"/>
        </w:rPr>
        <w:t xml:space="preserve">had advised </w:t>
      </w:r>
      <w:r w:rsidRPr="00CE1D35">
        <w:rPr>
          <w:shd w:val="clear" w:color="auto" w:fill="FEFFFF"/>
        </w:rPr>
        <w:t xml:space="preserve">was on site. </w:t>
      </w:r>
      <w:r w:rsidR="004F1B00" w:rsidRPr="00CE1D35">
        <w:rPr>
          <w:shd w:val="clear" w:color="auto" w:fill="FEFFFF"/>
        </w:rPr>
        <w:t xml:space="preserve">The LWG </w:t>
      </w:r>
      <w:r w:rsidR="0039261F" w:rsidRPr="00CE1D35">
        <w:rPr>
          <w:shd w:val="clear" w:color="auto" w:fill="FEFFFF"/>
        </w:rPr>
        <w:t>provided</w:t>
      </w:r>
      <w:r w:rsidRPr="00CE1D35">
        <w:rPr>
          <w:shd w:val="clear" w:color="auto" w:fill="FEFFFF"/>
        </w:rPr>
        <w:t xml:space="preserve"> </w:t>
      </w:r>
      <w:r w:rsidR="004F1B00" w:rsidRPr="00CE1D35">
        <w:rPr>
          <w:shd w:val="clear" w:color="auto" w:fill="FEFFFF"/>
        </w:rPr>
        <w:t xml:space="preserve">the </w:t>
      </w:r>
      <w:r w:rsidR="0039261F" w:rsidRPr="00CE1D35">
        <w:rPr>
          <w:shd w:val="clear" w:color="auto" w:fill="FEFFFF"/>
        </w:rPr>
        <w:t xml:space="preserve">information </w:t>
      </w:r>
      <w:r w:rsidR="004F1B00" w:rsidRPr="00CE1D35">
        <w:rPr>
          <w:shd w:val="clear" w:color="auto" w:fill="FEFFFF"/>
        </w:rPr>
        <w:t xml:space="preserve">requested, and addition information </w:t>
      </w:r>
      <w:r w:rsidR="0039261F" w:rsidRPr="00CE1D35">
        <w:rPr>
          <w:shd w:val="clear" w:color="auto" w:fill="FEFFFF"/>
        </w:rPr>
        <w:t>on mammals</w:t>
      </w:r>
      <w:r w:rsidR="004F1B00" w:rsidRPr="00CE1D35">
        <w:rPr>
          <w:shd w:val="clear" w:color="auto" w:fill="FEFFFF"/>
        </w:rPr>
        <w:t xml:space="preserve"> and </w:t>
      </w:r>
      <w:r w:rsidR="0039261F" w:rsidRPr="00CE1D35">
        <w:rPr>
          <w:shd w:val="clear" w:color="auto" w:fill="FEFFFF"/>
        </w:rPr>
        <w:t>habitats</w:t>
      </w:r>
      <w:r w:rsidR="00155CDA" w:rsidRPr="00CE1D35">
        <w:rPr>
          <w:shd w:val="clear" w:color="auto" w:fill="FEFFFF"/>
        </w:rPr>
        <w:t xml:space="preserve">, as well as </w:t>
      </w:r>
      <w:r w:rsidRPr="00CE1D35">
        <w:rPr>
          <w:shd w:val="clear" w:color="auto" w:fill="FEFFFF"/>
        </w:rPr>
        <w:t xml:space="preserve">contact </w:t>
      </w:r>
      <w:r w:rsidR="0039261F" w:rsidRPr="00CE1D35">
        <w:rPr>
          <w:shd w:val="clear" w:color="auto" w:fill="FEFFFF"/>
        </w:rPr>
        <w:t xml:space="preserve">details </w:t>
      </w:r>
      <w:r w:rsidRPr="00CE1D35">
        <w:rPr>
          <w:shd w:val="clear" w:color="auto" w:fill="FEFFFF"/>
        </w:rPr>
        <w:t>for more expert advice</w:t>
      </w:r>
      <w:r w:rsidR="0039261F" w:rsidRPr="00CE1D35">
        <w:rPr>
          <w:shd w:val="clear" w:color="auto" w:fill="FEFFFF"/>
        </w:rPr>
        <w:t xml:space="preserve">, and for </w:t>
      </w:r>
      <w:r w:rsidRPr="00CE1D35">
        <w:rPr>
          <w:shd w:val="clear" w:color="auto" w:fill="FEFFFF"/>
        </w:rPr>
        <w:t xml:space="preserve">the </w:t>
      </w:r>
      <w:r w:rsidR="0039261F" w:rsidRPr="00CE1D35">
        <w:rPr>
          <w:shd w:val="clear" w:color="auto" w:fill="FEFFFF"/>
        </w:rPr>
        <w:t>L</w:t>
      </w:r>
      <w:r w:rsidRPr="00CE1D35">
        <w:rPr>
          <w:shd w:val="clear" w:color="auto" w:fill="FEFFFF"/>
        </w:rPr>
        <w:t xml:space="preserve">ocal </w:t>
      </w:r>
      <w:r w:rsidR="0039261F" w:rsidRPr="00CE1D35">
        <w:rPr>
          <w:shd w:val="clear" w:color="auto" w:fill="FEFFFF"/>
        </w:rPr>
        <w:t>R</w:t>
      </w:r>
      <w:r w:rsidRPr="00CE1D35">
        <w:rPr>
          <w:shd w:val="clear" w:color="auto" w:fill="FEFFFF"/>
        </w:rPr>
        <w:t xml:space="preserve">ecords </w:t>
      </w:r>
      <w:r w:rsidR="0039261F" w:rsidRPr="00CE1D35">
        <w:rPr>
          <w:shd w:val="clear" w:color="auto" w:fill="FEFFFF"/>
        </w:rPr>
        <w:t>C</w:t>
      </w:r>
      <w:r w:rsidRPr="00CE1D35">
        <w:rPr>
          <w:shd w:val="clear" w:color="auto" w:fill="FEFFFF"/>
        </w:rPr>
        <w:t xml:space="preserve">entre. </w:t>
      </w:r>
      <w:r w:rsidR="00155CDA" w:rsidRPr="00CE1D35">
        <w:rPr>
          <w:shd w:val="clear" w:color="auto" w:fill="FEFFFF"/>
        </w:rPr>
        <w:t xml:space="preserve">The agent </w:t>
      </w:r>
      <w:r w:rsidRPr="00CE1D35">
        <w:rPr>
          <w:shd w:val="clear" w:color="auto" w:fill="FEFFFF"/>
        </w:rPr>
        <w:t>shared subsequent versions of the proposed design for further comment. He took seriously the importance of: </w:t>
      </w:r>
    </w:p>
    <w:p w14:paraId="2185CCDE" w14:textId="6B8DAF4B" w:rsidR="007F1D0C" w:rsidRPr="00CE1D35" w:rsidRDefault="004E5FDE" w:rsidP="007F1D0C">
      <w:pPr>
        <w:pStyle w:val="ListParagraph"/>
        <w:numPr>
          <w:ilvl w:val="0"/>
          <w:numId w:val="19"/>
        </w:numPr>
        <w:pBdr>
          <w:top w:val="single" w:sz="4" w:space="1" w:color="auto"/>
          <w:left w:val="single" w:sz="4" w:space="1" w:color="auto"/>
          <w:bottom w:val="single" w:sz="4" w:space="1" w:color="auto"/>
          <w:right w:val="single" w:sz="4" w:space="1" w:color="auto"/>
        </w:pBdr>
        <w:rPr>
          <w:rFonts w:eastAsia="Helvetica"/>
          <w:shd w:val="clear" w:color="auto" w:fill="FEFFFF"/>
        </w:rPr>
      </w:pPr>
      <w:r w:rsidRPr="00CE1D35">
        <w:rPr>
          <w:shd w:val="clear" w:color="auto" w:fill="FEFFFF"/>
        </w:rPr>
        <w:t>t</w:t>
      </w:r>
      <w:r w:rsidR="007F1D0C" w:rsidRPr="00CE1D35">
        <w:rPr>
          <w:shd w:val="clear" w:color="auto" w:fill="FEFFFF"/>
        </w:rPr>
        <w:t>he presence of a very rare plant and the small burn it depended on</w:t>
      </w:r>
      <w:r w:rsidR="00155CDA" w:rsidRPr="00CE1D35">
        <w:rPr>
          <w:shd w:val="clear" w:color="auto" w:fill="FEFFFF"/>
        </w:rPr>
        <w:t xml:space="preserve">; this </w:t>
      </w:r>
      <w:r w:rsidR="007F1D0C" w:rsidRPr="00CE1D35">
        <w:rPr>
          <w:shd w:val="clear" w:color="auto" w:fill="FEFFFF"/>
        </w:rPr>
        <w:t>led to the area being excluded from planting, and ensuring, via careful planning of the fence-line, the level of grazing the plant needed</w:t>
      </w:r>
      <w:r w:rsidRPr="00CE1D35">
        <w:rPr>
          <w:shd w:val="clear" w:color="auto" w:fill="FEFFFF"/>
        </w:rPr>
        <w:t>;</w:t>
      </w:r>
    </w:p>
    <w:p w14:paraId="25111939" w14:textId="0B00DDD4" w:rsidR="007F1D0C" w:rsidRPr="00CE1D35" w:rsidRDefault="004E5FDE" w:rsidP="007F1D0C">
      <w:pPr>
        <w:pStyle w:val="ListParagraph"/>
        <w:numPr>
          <w:ilvl w:val="0"/>
          <w:numId w:val="19"/>
        </w:numPr>
        <w:pBdr>
          <w:top w:val="single" w:sz="4" w:space="1" w:color="auto"/>
          <w:left w:val="single" w:sz="4" w:space="1" w:color="auto"/>
          <w:bottom w:val="single" w:sz="4" w:space="1" w:color="auto"/>
          <w:right w:val="single" w:sz="4" w:space="1" w:color="auto"/>
        </w:pBdr>
        <w:rPr>
          <w:rFonts w:eastAsia="Helvetica"/>
          <w:shd w:val="clear" w:color="auto" w:fill="FEFFFF"/>
        </w:rPr>
      </w:pPr>
      <w:r w:rsidRPr="00CE1D35">
        <w:rPr>
          <w:shd w:val="clear" w:color="auto" w:fill="FEFFFF"/>
        </w:rPr>
        <w:t>p</w:t>
      </w:r>
      <w:r w:rsidR="007F1D0C" w:rsidRPr="00CE1D35">
        <w:rPr>
          <w:shd w:val="clear" w:color="auto" w:fill="FEFFFF"/>
        </w:rPr>
        <w:t xml:space="preserve">riority habitats on the Scottish Biodiversity List, and the need for </w:t>
      </w:r>
      <w:r w:rsidR="003C0E20" w:rsidRPr="00CE1D35">
        <w:rPr>
          <w:shd w:val="clear" w:color="auto" w:fill="FEFFFF"/>
        </w:rPr>
        <w:t>excluding these areas from</w:t>
      </w:r>
      <w:r w:rsidR="007F1D0C" w:rsidRPr="00CE1D35">
        <w:rPr>
          <w:shd w:val="clear" w:color="auto" w:fill="FEFFFF"/>
        </w:rPr>
        <w:t xml:space="preserve"> planting plans</w:t>
      </w:r>
      <w:r w:rsidR="009C44EA" w:rsidRPr="00CE1D35">
        <w:rPr>
          <w:shd w:val="clear" w:color="auto" w:fill="FEFFFF"/>
        </w:rPr>
        <w:t>;</w:t>
      </w:r>
      <w:r w:rsidR="007F1D0C" w:rsidRPr="00CE1D35">
        <w:rPr>
          <w:rFonts w:eastAsia="Helvetica"/>
          <w:shd w:val="clear" w:color="auto" w:fill="FEFFFF"/>
        </w:rPr>
        <w:t xml:space="preserve"> </w:t>
      </w:r>
    </w:p>
    <w:p w14:paraId="1C015881" w14:textId="728C4E84" w:rsidR="007F1D0C" w:rsidRPr="00CE1D35" w:rsidRDefault="004E5FDE" w:rsidP="007F1D0C">
      <w:pPr>
        <w:pStyle w:val="ListParagraph"/>
        <w:numPr>
          <w:ilvl w:val="0"/>
          <w:numId w:val="19"/>
        </w:numPr>
        <w:pBdr>
          <w:top w:val="single" w:sz="4" w:space="1" w:color="auto"/>
          <w:left w:val="single" w:sz="4" w:space="1" w:color="auto"/>
          <w:bottom w:val="single" w:sz="4" w:space="1" w:color="auto"/>
          <w:right w:val="single" w:sz="4" w:space="1" w:color="auto"/>
        </w:pBdr>
        <w:rPr>
          <w:shd w:val="clear" w:color="auto" w:fill="FEFFFF"/>
        </w:rPr>
      </w:pPr>
      <w:r w:rsidRPr="00CE1D35">
        <w:rPr>
          <w:shd w:val="clear" w:color="auto" w:fill="FEFFFF"/>
        </w:rPr>
        <w:t>t</w:t>
      </w:r>
      <w:r w:rsidR="007F1D0C" w:rsidRPr="00CE1D35">
        <w:rPr>
          <w:shd w:val="clear" w:color="auto" w:fill="FEFFFF"/>
        </w:rPr>
        <w:t>he need in certain places within the site with priority habitats adjacent for wider buffer zones than the minimum to prevent drying out of the ground by the fastest-growing conifers</w:t>
      </w:r>
      <w:r w:rsidR="00333AF2" w:rsidRPr="00CE1D35">
        <w:rPr>
          <w:shd w:val="clear" w:color="auto" w:fill="FEFFFF"/>
        </w:rPr>
        <w:t xml:space="preserve">. </w:t>
      </w:r>
    </w:p>
    <w:p w14:paraId="5DE0EE03" w14:textId="05CD950B" w:rsidR="007F1D0C" w:rsidRPr="00CE1D35" w:rsidRDefault="00C82BC9" w:rsidP="007F1D0C">
      <w:pPr>
        <w:pBdr>
          <w:top w:val="single" w:sz="4" w:space="1" w:color="auto"/>
          <w:left w:val="single" w:sz="4" w:space="1" w:color="auto"/>
          <w:bottom w:val="single" w:sz="4" w:space="1" w:color="auto"/>
          <w:right w:val="single" w:sz="4" w:space="1" w:color="auto"/>
        </w:pBdr>
        <w:rPr>
          <w:rFonts w:eastAsia="Helvetica"/>
          <w:shd w:val="clear" w:color="auto" w:fill="FEFFFF"/>
        </w:rPr>
      </w:pPr>
      <w:r w:rsidRPr="00CE1D35">
        <w:rPr>
          <w:shd w:val="clear" w:color="auto" w:fill="FEFFFF"/>
        </w:rPr>
        <w:t xml:space="preserve">This </w:t>
      </w:r>
      <w:r w:rsidR="007F1D0C" w:rsidRPr="00CE1D35">
        <w:rPr>
          <w:shd w:val="clear" w:color="auto" w:fill="FEFFFF"/>
        </w:rPr>
        <w:t xml:space="preserve">approach worked well and was a big improvement on previous experiences. Importantly it meant that by the time the application reached the Public Register, the </w:t>
      </w:r>
      <w:r w:rsidR="00DF160C" w:rsidRPr="00CE1D35">
        <w:rPr>
          <w:shd w:val="clear" w:color="auto" w:fill="FEFFFF"/>
        </w:rPr>
        <w:t xml:space="preserve">LWG only felt it necessary </w:t>
      </w:r>
      <w:r w:rsidR="007F1D0C" w:rsidRPr="00CE1D35">
        <w:rPr>
          <w:shd w:val="clear" w:color="auto" w:fill="FEFFFF"/>
        </w:rPr>
        <w:t>to make</w:t>
      </w:r>
      <w:r w:rsidR="00DF160C" w:rsidRPr="00CE1D35">
        <w:rPr>
          <w:shd w:val="clear" w:color="auto" w:fill="FEFFFF"/>
        </w:rPr>
        <w:t xml:space="preserve"> one final comment</w:t>
      </w:r>
      <w:r w:rsidR="007F1D0C" w:rsidRPr="00CE1D35">
        <w:rPr>
          <w:shd w:val="clear" w:color="auto" w:fill="FEFFFF"/>
        </w:rPr>
        <w:t>. </w:t>
      </w:r>
      <w:r w:rsidR="00DF160C" w:rsidRPr="00CE1D35">
        <w:rPr>
          <w:shd w:val="clear" w:color="auto" w:fill="FEFFFF"/>
        </w:rPr>
        <w:t xml:space="preserve">The group </w:t>
      </w:r>
      <w:r w:rsidR="00920BEA" w:rsidRPr="00CE1D35">
        <w:rPr>
          <w:shd w:val="clear" w:color="auto" w:fill="FEFFFF"/>
        </w:rPr>
        <w:t xml:space="preserve">felt it was significant </w:t>
      </w:r>
      <w:r w:rsidR="007F1D0C" w:rsidRPr="00CE1D35">
        <w:rPr>
          <w:shd w:val="clear" w:color="auto" w:fill="FEFFFF"/>
        </w:rPr>
        <w:t xml:space="preserve">that the </w:t>
      </w:r>
      <w:r w:rsidR="00920BEA" w:rsidRPr="00CE1D35">
        <w:rPr>
          <w:shd w:val="clear" w:color="auto" w:fill="FEFFFF"/>
        </w:rPr>
        <w:t xml:space="preserve">agent </w:t>
      </w:r>
      <w:r w:rsidR="007F1D0C" w:rsidRPr="00CE1D35">
        <w:rPr>
          <w:shd w:val="clear" w:color="auto" w:fill="FEFFFF"/>
        </w:rPr>
        <w:t xml:space="preserve">did not regard UKFS minimum standard as what he was aiming for. Instead, he was aiming at doing a good job, and was open to hearing unexpected information and reconsidering the forest design in the light of that information.  </w:t>
      </w:r>
      <w:r w:rsidRPr="00CE1D35">
        <w:rPr>
          <w:shd w:val="clear" w:color="auto" w:fill="FEFFFF"/>
        </w:rPr>
        <w:t xml:space="preserve">They were content </w:t>
      </w:r>
      <w:r w:rsidR="006569D5" w:rsidRPr="00CE1D35">
        <w:rPr>
          <w:shd w:val="clear" w:color="auto" w:fill="FEFFFF"/>
        </w:rPr>
        <w:t xml:space="preserve">with the outcome: </w:t>
      </w:r>
      <w:r w:rsidRPr="00CE1D35">
        <w:rPr>
          <w:shd w:val="clear" w:color="auto" w:fill="FEFFFF"/>
        </w:rPr>
        <w:t xml:space="preserve">about 35ha taken out of </w:t>
      </w:r>
      <w:r w:rsidR="006569D5" w:rsidRPr="00CE1D35">
        <w:rPr>
          <w:shd w:val="clear" w:color="auto" w:fill="FEFFFF"/>
        </w:rPr>
        <w:t xml:space="preserve">the </w:t>
      </w:r>
      <w:r w:rsidRPr="00CE1D35">
        <w:rPr>
          <w:shd w:val="clear" w:color="auto" w:fill="FEFFFF"/>
        </w:rPr>
        <w:t xml:space="preserve">planting </w:t>
      </w:r>
      <w:r w:rsidR="006569D5" w:rsidRPr="00CE1D35">
        <w:rPr>
          <w:shd w:val="clear" w:color="auto" w:fill="FEFFFF"/>
        </w:rPr>
        <w:t xml:space="preserve">area </w:t>
      </w:r>
      <w:r w:rsidRPr="00CE1D35">
        <w:rPr>
          <w:shd w:val="clear" w:color="auto" w:fill="FEFFFF"/>
        </w:rPr>
        <w:t xml:space="preserve">altogether, or </w:t>
      </w:r>
      <w:r w:rsidR="006569D5" w:rsidRPr="00CE1D35">
        <w:rPr>
          <w:shd w:val="clear" w:color="auto" w:fill="FEFFFF"/>
        </w:rPr>
        <w:t xml:space="preserve">re-assigned to </w:t>
      </w:r>
      <w:r w:rsidRPr="00CE1D35">
        <w:rPr>
          <w:shd w:val="clear" w:color="auto" w:fill="FEFFFF"/>
        </w:rPr>
        <w:t>native species.</w:t>
      </w:r>
    </w:p>
    <w:p w14:paraId="55DF5A10" w14:textId="1AAA1964" w:rsidR="00C82BC9" w:rsidRPr="00CE1D35" w:rsidRDefault="00C82BC9" w:rsidP="007F1D0C">
      <w:pPr>
        <w:pBdr>
          <w:top w:val="single" w:sz="4" w:space="1" w:color="auto"/>
          <w:left w:val="single" w:sz="4" w:space="1" w:color="auto"/>
          <w:bottom w:val="single" w:sz="4" w:space="1" w:color="auto"/>
          <w:right w:val="single" w:sz="4" w:space="1" w:color="auto"/>
        </w:pBdr>
        <w:rPr>
          <w:rFonts w:eastAsia="Helvetica"/>
          <w:shd w:val="clear" w:color="auto" w:fill="FEFFFF"/>
        </w:rPr>
      </w:pPr>
      <w:r w:rsidRPr="00CE1D35">
        <w:rPr>
          <w:shd w:val="clear" w:color="auto" w:fill="FEFFFF"/>
        </w:rPr>
        <w:t>The LWG were surprised by the lack of knowledge of the species and priority habitats, and where to find information about them. They also thought the agent was surprised about the amount of information they provided and the persistence with which we pursued issues that had not yet been addressed.</w:t>
      </w:r>
    </w:p>
    <w:p w14:paraId="1917D1EB" w14:textId="3FB847BA" w:rsidR="007F1D0C" w:rsidRPr="00CE1D35" w:rsidRDefault="007F1D0C" w:rsidP="007F1D0C">
      <w:pPr>
        <w:pBdr>
          <w:top w:val="single" w:sz="4" w:space="1" w:color="auto"/>
          <w:left w:val="single" w:sz="4" w:space="1" w:color="auto"/>
          <w:bottom w:val="single" w:sz="4" w:space="1" w:color="auto"/>
          <w:right w:val="single" w:sz="4" w:space="1" w:color="auto"/>
        </w:pBdr>
        <w:rPr>
          <w:rFonts w:eastAsia="Helvetica"/>
          <w:shd w:val="clear" w:color="auto" w:fill="FEFFFF"/>
        </w:rPr>
      </w:pPr>
      <w:r w:rsidRPr="00CE1D35">
        <w:rPr>
          <w:shd w:val="clear" w:color="auto" w:fill="FEFFFF"/>
        </w:rPr>
        <w:t xml:space="preserve">Although this was a significantly more constructive consultation than many, the LWG </w:t>
      </w:r>
      <w:r w:rsidR="006569D5" w:rsidRPr="00CE1D35">
        <w:rPr>
          <w:shd w:val="clear" w:color="auto" w:fill="FEFFFF"/>
        </w:rPr>
        <w:t xml:space="preserve">did not receive </w:t>
      </w:r>
      <w:r w:rsidRPr="00CE1D35">
        <w:rPr>
          <w:shd w:val="clear" w:color="auto" w:fill="FEFFFF"/>
        </w:rPr>
        <w:t>routine written feedback, nor final species map of the Approved Final Version of the proposal</w:t>
      </w:r>
      <w:r w:rsidR="00C82BC9" w:rsidRPr="00CE1D35">
        <w:rPr>
          <w:shd w:val="clear" w:color="auto" w:fill="FEFFFF"/>
        </w:rPr>
        <w:t xml:space="preserve"> and </w:t>
      </w:r>
      <w:r w:rsidR="00C82BC9" w:rsidRPr="00CE1D35">
        <w:rPr>
          <w:shd w:val="clear" w:color="auto" w:fill="FEFFFF"/>
        </w:rPr>
        <w:lastRenderedPageBreak/>
        <w:t>felt this should have been provided by Scottish Forestry.</w:t>
      </w:r>
    </w:p>
    <w:p w14:paraId="50FB09DF" w14:textId="2C443C94" w:rsidR="007F1D0C" w:rsidRPr="00CE1D35" w:rsidRDefault="00835A07" w:rsidP="007F1D0C">
      <w:pPr>
        <w:pStyle w:val="Heading2"/>
      </w:pPr>
      <w:bookmarkStart w:id="23" w:name="_Toc93249696"/>
      <w:r w:rsidRPr="00CE1D35">
        <w:t>Recommended</w:t>
      </w:r>
      <w:r w:rsidR="007F1D0C" w:rsidRPr="00CE1D35">
        <w:t xml:space="preserve"> changes</w:t>
      </w:r>
      <w:bookmarkEnd w:id="23"/>
    </w:p>
    <w:p w14:paraId="49B6A2CD" w14:textId="692E376D" w:rsidR="007F1D0C" w:rsidRPr="00CE1D35" w:rsidRDefault="007F1D0C" w:rsidP="007F1D0C">
      <w:r w:rsidRPr="00CE1D35">
        <w:t xml:space="preserve">UKFS2017 provides a strong steer on biodiversity but much of this is open to interpretation and non-mandatory. </w:t>
      </w:r>
      <w:r w:rsidR="003124D5" w:rsidRPr="00CE1D35">
        <w:t xml:space="preserve">In this paper we limit our recommendations </w:t>
      </w:r>
      <w:r w:rsidRPr="00CE1D35">
        <w:t xml:space="preserve">to those involving ‘People’. </w:t>
      </w:r>
    </w:p>
    <w:p w14:paraId="7E9076CC" w14:textId="6F3FBA1A" w:rsidR="007F1D0C" w:rsidRPr="00CE1D35" w:rsidRDefault="007F1D0C" w:rsidP="007F1D0C">
      <w:r w:rsidRPr="00CE1D35">
        <w:t xml:space="preserve">The revised UKFS should recognise the need for stakeholder and community engagement to fulfil </w:t>
      </w:r>
      <w:r w:rsidR="00334813" w:rsidRPr="00CE1D35">
        <w:t>biodiversity</w:t>
      </w:r>
      <w:r w:rsidRPr="00CE1D35">
        <w:t xml:space="preserve"> criteri</w:t>
      </w:r>
      <w:r w:rsidR="00334813" w:rsidRPr="00CE1D35">
        <w:t>a</w:t>
      </w:r>
      <w:r w:rsidRPr="00CE1D35">
        <w:t xml:space="preserve">. This is an area which requires specialist knowledge for example in relation to designated categories of protection. However it is clear that much of this specialist knowledge is found within local and regional communities. </w:t>
      </w:r>
    </w:p>
    <w:p w14:paraId="072A78A2" w14:textId="77777777" w:rsidR="007F1D0C" w:rsidRPr="00CE1D35" w:rsidRDefault="007F1D0C" w:rsidP="007F1D0C">
      <w:r w:rsidRPr="00CE1D35">
        <w:t xml:space="preserve">The revised UKFS must include the need to </w:t>
      </w:r>
    </w:p>
    <w:p w14:paraId="03629088" w14:textId="497AFDCF" w:rsidR="007F1D0C" w:rsidRPr="00CE1D35" w:rsidRDefault="003124D5" w:rsidP="009468BA">
      <w:pPr>
        <w:pStyle w:val="ListParagraph"/>
        <w:numPr>
          <w:ilvl w:val="0"/>
          <w:numId w:val="38"/>
        </w:numPr>
        <w:ind w:hanging="360"/>
      </w:pPr>
      <w:r w:rsidRPr="00CE1D35">
        <w:t>a</w:t>
      </w:r>
      <w:r w:rsidR="007F1D0C" w:rsidRPr="00CE1D35">
        <w:t>ccess and use data held at Local Record Centres</w:t>
      </w:r>
      <w:r w:rsidRPr="00CE1D35">
        <w:t>;</w:t>
      </w:r>
    </w:p>
    <w:p w14:paraId="774F754A" w14:textId="15B17D88" w:rsidR="007F1D0C" w:rsidRPr="00CE1D35" w:rsidRDefault="003124D5" w:rsidP="009468BA">
      <w:pPr>
        <w:pStyle w:val="ListParagraph"/>
        <w:numPr>
          <w:ilvl w:val="0"/>
          <w:numId w:val="38"/>
        </w:numPr>
        <w:ind w:hanging="360"/>
      </w:pPr>
      <w:r w:rsidRPr="00CE1D35">
        <w:t>r</w:t>
      </w:r>
      <w:r w:rsidR="007F1D0C" w:rsidRPr="00CE1D35">
        <w:t>educe costs to forest owners and agents by sharing data</w:t>
      </w:r>
      <w:r w:rsidRPr="00CE1D35">
        <w:t>;</w:t>
      </w:r>
    </w:p>
    <w:p w14:paraId="3E538774" w14:textId="06307197" w:rsidR="007F1D0C" w:rsidRPr="00CE1D35" w:rsidRDefault="003124D5" w:rsidP="009468BA">
      <w:pPr>
        <w:pStyle w:val="ListParagraph"/>
        <w:numPr>
          <w:ilvl w:val="0"/>
          <w:numId w:val="38"/>
        </w:numPr>
        <w:ind w:hanging="360"/>
      </w:pPr>
      <w:r w:rsidRPr="00CE1D35">
        <w:t xml:space="preserve">make </w:t>
      </w:r>
      <w:r w:rsidR="007F1D0C" w:rsidRPr="00CE1D35">
        <w:t>all relevant data publicly available so that local communities and stakeholders can make informed responses</w:t>
      </w:r>
      <w:r w:rsidR="004860F8" w:rsidRPr="00CE1D35">
        <w:t>.</w:t>
      </w:r>
      <w:r w:rsidR="007F1D0C" w:rsidRPr="00CE1D35">
        <w:t xml:space="preserve"> </w:t>
      </w:r>
    </w:p>
    <w:p w14:paraId="421C404A" w14:textId="77777777" w:rsidR="007F1D0C" w:rsidRPr="00CE1D35" w:rsidRDefault="007F1D0C" w:rsidP="007F1D0C">
      <w:pPr>
        <w:pStyle w:val="Heading1"/>
      </w:pPr>
      <w:bookmarkStart w:id="24" w:name="_Toc93249697"/>
      <w:r w:rsidRPr="00CE1D35">
        <w:t>Heritage</w:t>
      </w:r>
      <w:bookmarkEnd w:id="24"/>
    </w:p>
    <w:p w14:paraId="50DB40E8" w14:textId="77777777" w:rsidR="007F1D0C" w:rsidRPr="00CE1D35" w:rsidRDefault="007F1D0C" w:rsidP="007F1D0C">
      <w:pPr>
        <w:pStyle w:val="Heading2"/>
      </w:pPr>
      <w:bookmarkStart w:id="25" w:name="_Toc93249698"/>
      <w:r w:rsidRPr="00CE1D35">
        <w:t>Why ‘People’ are part of this issue</w:t>
      </w:r>
      <w:bookmarkEnd w:id="25"/>
    </w:p>
    <w:p w14:paraId="0655DEF3" w14:textId="09CF33DE" w:rsidR="007F1D0C" w:rsidRPr="00CE1D35" w:rsidRDefault="007F1D0C" w:rsidP="007F1D0C">
      <w:r w:rsidRPr="00CE1D35">
        <w:t xml:space="preserve">Local people are sources of knowledge about the historic environment and have an interest in conserving or enhancing cultural significance of heritage assets. </w:t>
      </w:r>
      <w:r w:rsidRPr="00CE1D35">
        <w:rPr>
          <w:b/>
          <w:bCs/>
        </w:rPr>
        <w:t>Public engagement with community interest groups can and does yield useful information about the historic environment</w:t>
      </w:r>
      <w:r w:rsidRPr="00CE1D35">
        <w:t xml:space="preserve"> which will help to inform management, and opportunities for public benefit. These benefits may include: </w:t>
      </w:r>
    </w:p>
    <w:p w14:paraId="2756BB83" w14:textId="77777777" w:rsidR="007F1D0C" w:rsidRPr="00CE1D35" w:rsidRDefault="007F1D0C" w:rsidP="007F1D0C">
      <w:pPr>
        <w:pStyle w:val="ListParagraph"/>
        <w:numPr>
          <w:ilvl w:val="0"/>
          <w:numId w:val="5"/>
        </w:numPr>
      </w:pPr>
      <w:r w:rsidRPr="00CE1D35">
        <w:t>Improved access to or interpretation of heritage assets</w:t>
      </w:r>
    </w:p>
    <w:p w14:paraId="45646303" w14:textId="77777777" w:rsidR="007F1D0C" w:rsidRPr="00CE1D35" w:rsidRDefault="007F1D0C" w:rsidP="007F1D0C">
      <w:pPr>
        <w:pStyle w:val="ListParagraph"/>
        <w:numPr>
          <w:ilvl w:val="0"/>
          <w:numId w:val="5"/>
        </w:numPr>
      </w:pPr>
      <w:r w:rsidRPr="00CE1D35">
        <w:t>Community-led stewardship or maintenance of heritage assets</w:t>
      </w:r>
    </w:p>
    <w:p w14:paraId="37373C70" w14:textId="77777777" w:rsidR="007F1D0C" w:rsidRPr="00CE1D35" w:rsidRDefault="007F1D0C" w:rsidP="007F1D0C">
      <w:pPr>
        <w:pStyle w:val="ListParagraph"/>
        <w:numPr>
          <w:ilvl w:val="0"/>
          <w:numId w:val="5"/>
        </w:numPr>
      </w:pPr>
      <w:r w:rsidRPr="00CE1D35">
        <w:t>Community-led archaeology projects to increase knowledge of heritage assets</w:t>
      </w:r>
    </w:p>
    <w:p w14:paraId="5D166010" w14:textId="77777777" w:rsidR="007F1D0C" w:rsidRPr="00CE1D35" w:rsidRDefault="007F1D0C" w:rsidP="007F1D0C">
      <w:r w:rsidRPr="00CE1D35">
        <w:t xml:space="preserve">Furthermore, while ‘People’ help to identify heritage assets of local and national importance, they also help to go beyond the physical preservation of heritage features. A more interpersonal approach is needed to gather and understand the full range of information and associations with specific features and assets, and pursue opportunities for public benefit.  </w:t>
      </w:r>
    </w:p>
    <w:p w14:paraId="7DE93A97" w14:textId="63F961AD" w:rsidR="00431D2B" w:rsidRPr="00CE1D35" w:rsidRDefault="006E42BC" w:rsidP="00431D2B">
      <w:pPr>
        <w:pBdr>
          <w:top w:val="single" w:sz="4" w:space="1" w:color="auto"/>
          <w:left w:val="single" w:sz="4" w:space="4" w:color="auto"/>
          <w:bottom w:val="single" w:sz="4" w:space="1" w:color="auto"/>
          <w:right w:val="single" w:sz="4" w:space="4" w:color="auto"/>
        </w:pBdr>
        <w:rPr>
          <w:b/>
          <w:bCs/>
        </w:rPr>
      </w:pPr>
      <w:r w:rsidRPr="00CE1D35">
        <w:rPr>
          <w:b/>
          <w:bCs/>
        </w:rPr>
        <w:t xml:space="preserve">Box </w:t>
      </w:r>
      <w:r w:rsidR="00CE1D35" w:rsidRPr="00CE1D35">
        <w:rPr>
          <w:b/>
          <w:bCs/>
        </w:rPr>
        <w:t>7</w:t>
      </w:r>
      <w:r w:rsidRPr="00CE1D35">
        <w:rPr>
          <w:b/>
          <w:bCs/>
        </w:rPr>
        <w:t xml:space="preserve">. </w:t>
      </w:r>
      <w:r w:rsidR="001302DC" w:rsidRPr="00CE1D35">
        <w:rPr>
          <w:b/>
          <w:bCs/>
        </w:rPr>
        <w:t>E</w:t>
      </w:r>
      <w:r w:rsidRPr="00CE1D35">
        <w:rPr>
          <w:b/>
          <w:bCs/>
        </w:rPr>
        <w:t xml:space="preserve">xtract from </w:t>
      </w:r>
      <w:r w:rsidR="00431D2B" w:rsidRPr="00CE1D35">
        <w:rPr>
          <w:b/>
          <w:bCs/>
        </w:rPr>
        <w:t>The Southern Uplands Partnership position statement on trees, forests and woodland:</w:t>
      </w:r>
    </w:p>
    <w:p w14:paraId="6D4D15F7" w14:textId="377FF23B" w:rsidR="006E42BC" w:rsidRPr="00CE1D35" w:rsidRDefault="006E42BC" w:rsidP="006E4850">
      <w:pPr>
        <w:pBdr>
          <w:top w:val="single" w:sz="4" w:space="1" w:color="auto"/>
          <w:left w:val="single" w:sz="4" w:space="4" w:color="auto"/>
          <w:bottom w:val="single" w:sz="4" w:space="1" w:color="auto"/>
          <w:right w:val="single" w:sz="4" w:space="4" w:color="auto"/>
        </w:pBdr>
        <w:rPr>
          <w:b/>
          <w:bCs/>
        </w:rPr>
      </w:pPr>
      <w:r w:rsidRPr="00CE1D35">
        <w:t xml:space="preserve">“The loss of cultural sites and archaeological landscapes has been one of the most damaging consequences of forestry in recent years. These are often unrecognised at the time and their significance unrecorded.” </w:t>
      </w:r>
      <w:r w:rsidR="001302DC" w:rsidRPr="00CE1D35">
        <w:t>(</w:t>
      </w:r>
      <w:r w:rsidRPr="00CE1D35">
        <w:t>SUP 2021</w:t>
      </w:r>
      <w:r w:rsidR="001302DC" w:rsidRPr="00CE1D35">
        <w:t>)</w:t>
      </w:r>
    </w:p>
    <w:p w14:paraId="3E703BAD" w14:textId="20FF0716" w:rsidR="007F1D0C" w:rsidRPr="00CE1D35" w:rsidRDefault="007F1D0C" w:rsidP="007F1D0C">
      <w:pPr>
        <w:pStyle w:val="Heading2"/>
        <w:rPr>
          <w:rFonts w:eastAsia="Arial"/>
        </w:rPr>
      </w:pPr>
      <w:bookmarkStart w:id="26" w:name="_Toc93249699"/>
      <w:r w:rsidRPr="00CE1D35">
        <w:rPr>
          <w:rFonts w:eastAsia="Arial"/>
        </w:rPr>
        <w:t>Evidence of the issue</w:t>
      </w:r>
      <w:bookmarkEnd w:id="26"/>
    </w:p>
    <w:p w14:paraId="72AE2AF8" w14:textId="2A0EA9EA" w:rsidR="007F1D0C" w:rsidRPr="00CE1D35" w:rsidRDefault="007F1D0C" w:rsidP="007F1D0C">
      <w:r w:rsidRPr="00CE1D35">
        <w:t xml:space="preserve">The </w:t>
      </w:r>
      <w:r w:rsidRPr="00CE1D35">
        <w:rPr>
          <w:b/>
          <w:bCs/>
        </w:rPr>
        <w:t xml:space="preserve">SUP </w:t>
      </w:r>
      <w:r w:rsidR="00AE62FC" w:rsidRPr="00CE1D35">
        <w:rPr>
          <w:b/>
          <w:bCs/>
        </w:rPr>
        <w:t xml:space="preserve">/ BFT </w:t>
      </w:r>
      <w:r w:rsidRPr="00CE1D35">
        <w:rPr>
          <w:b/>
          <w:bCs/>
        </w:rPr>
        <w:t xml:space="preserve">study </w:t>
      </w:r>
      <w:r w:rsidRPr="00CE1D35">
        <w:t xml:space="preserve">documents experience in the Scottish Borders, where official data </w:t>
      </w:r>
      <w:r w:rsidR="0072046C" w:rsidRPr="00CE1D35">
        <w:t xml:space="preserve">used in new planting applications omits </w:t>
      </w:r>
      <w:r w:rsidRPr="00CE1D35">
        <w:t xml:space="preserve">archaeology known to local historical societies. It calls for better stakeholder and local community involvement to identify sites and protect them. </w:t>
      </w:r>
    </w:p>
    <w:p w14:paraId="26724D96" w14:textId="358C7748" w:rsidR="00A7000B" w:rsidRPr="00CE1D35" w:rsidRDefault="007F1D0C" w:rsidP="007F1D0C">
      <w:r w:rsidRPr="00CE1D35">
        <w:t>An</w:t>
      </w:r>
      <w:r w:rsidR="00A7000B" w:rsidRPr="00CE1D35">
        <w:t xml:space="preserve"> example </w:t>
      </w:r>
      <w:r w:rsidR="0008702F" w:rsidRPr="00CE1D35">
        <w:t xml:space="preserve">from the forthcoming study of community experiences, in this case highlighting poor practice, </w:t>
      </w:r>
      <w:r w:rsidR="00A7000B" w:rsidRPr="00CE1D35">
        <w:t xml:space="preserve">is described in Box </w:t>
      </w:r>
      <w:r w:rsidR="00CE1D35" w:rsidRPr="00CE1D35">
        <w:t>8</w:t>
      </w:r>
      <w:r w:rsidR="00A7000B" w:rsidRPr="00CE1D35">
        <w:t xml:space="preserve">. </w:t>
      </w:r>
    </w:p>
    <w:p w14:paraId="760A5F00" w14:textId="7AC9C934" w:rsidR="009468BA" w:rsidRPr="00CE1D35" w:rsidRDefault="009468BA" w:rsidP="007F1D0C">
      <w:r w:rsidRPr="00CE1D35">
        <w:lastRenderedPageBreak/>
        <w:t xml:space="preserve">Examples of </w:t>
      </w:r>
      <w:r w:rsidRPr="00CE1D35">
        <w:rPr>
          <w:b/>
          <w:bCs/>
        </w:rPr>
        <w:t>good practice on public forest land</w:t>
      </w:r>
      <w:r w:rsidRPr="00CE1D35">
        <w:t xml:space="preserve"> are documented in Forestry Commission Scotland (2012), for example at </w:t>
      </w:r>
      <w:proofErr w:type="spellStart"/>
      <w:r w:rsidRPr="00CE1D35">
        <w:t>Cally</w:t>
      </w:r>
      <w:proofErr w:type="spellEnd"/>
      <w:r w:rsidRPr="00CE1D35">
        <w:t xml:space="preserve"> Woods, Gatehouse of Fleet (Box </w:t>
      </w:r>
      <w:r w:rsidR="00CE1D35" w:rsidRPr="00CE1D35">
        <w:t>9</w:t>
      </w:r>
      <w:r w:rsidRPr="00CE1D35">
        <w:t xml:space="preserve">). </w:t>
      </w:r>
    </w:p>
    <w:p w14:paraId="0EF8B92A" w14:textId="77777777" w:rsidR="009468BA" w:rsidRPr="00CE1D35" w:rsidRDefault="009468BA">
      <w:pPr>
        <w:widowControl/>
      </w:pPr>
      <w:r w:rsidRPr="00CE1D35">
        <w:br w:type="page"/>
      </w:r>
    </w:p>
    <w:p w14:paraId="67F7344D" w14:textId="627CA47A" w:rsidR="00A7000B" w:rsidRPr="00CE1D35" w:rsidRDefault="00A7000B" w:rsidP="00A7000B">
      <w:pPr>
        <w:pBdr>
          <w:top w:val="single" w:sz="4" w:space="1" w:color="auto"/>
          <w:left w:val="single" w:sz="4" w:space="4" w:color="auto"/>
          <w:bottom w:val="single" w:sz="4" w:space="1" w:color="auto"/>
          <w:right w:val="single" w:sz="4" w:space="4" w:color="auto"/>
        </w:pBdr>
        <w:rPr>
          <w:b/>
          <w:bCs/>
        </w:rPr>
      </w:pPr>
      <w:r w:rsidRPr="00CE1D35">
        <w:rPr>
          <w:b/>
          <w:bCs/>
        </w:rPr>
        <w:lastRenderedPageBreak/>
        <w:t xml:space="preserve">Box </w:t>
      </w:r>
      <w:r w:rsidR="00CE1D35" w:rsidRPr="00CE1D35">
        <w:rPr>
          <w:b/>
          <w:bCs/>
        </w:rPr>
        <w:t>8</w:t>
      </w:r>
      <w:r w:rsidRPr="00CE1D35">
        <w:rPr>
          <w:b/>
          <w:bCs/>
        </w:rPr>
        <w:t>. Kilmartin Glen</w:t>
      </w:r>
      <w:r w:rsidR="0072046C" w:rsidRPr="00CE1D35">
        <w:rPr>
          <w:b/>
          <w:bCs/>
        </w:rPr>
        <w:t xml:space="preserve"> case study</w:t>
      </w:r>
    </w:p>
    <w:p w14:paraId="5DFA8BB1" w14:textId="77777777" w:rsidR="005E4252" w:rsidRPr="00CE1D35" w:rsidRDefault="00A7000B" w:rsidP="00A7000B">
      <w:pPr>
        <w:pBdr>
          <w:top w:val="single" w:sz="4" w:space="1" w:color="auto"/>
          <w:left w:val="single" w:sz="4" w:space="4" w:color="auto"/>
          <w:bottom w:val="single" w:sz="4" w:space="1" w:color="auto"/>
          <w:right w:val="single" w:sz="4" w:space="4" w:color="auto"/>
        </w:pBdr>
      </w:pPr>
      <w:r w:rsidRPr="00CE1D35">
        <w:t xml:space="preserve">An </w:t>
      </w:r>
      <w:r w:rsidR="007F1D0C" w:rsidRPr="00CE1D35">
        <w:t>application for new planting in Kilmartin Glen, by a well-known forestry company, illustrates failure to follow the spirit and letter of the UKFS, to the detriment of all concerned. The application was in the first instance rejected by Scottish Forestry. A subsequent proposal was dropped after limited consultation. The original proposal of about 70ha of mainly Sitka spruce was withdrawn by the agent once it became clear that there was both a growing body of vocal local concern about a proposal that no one knew anything about,</w:t>
      </w:r>
      <w:r w:rsidR="00C56D51" w:rsidRPr="00CE1D35">
        <w:t xml:space="preserve"> and</w:t>
      </w:r>
      <w:r w:rsidR="007F1D0C" w:rsidRPr="00CE1D35">
        <w:t xml:space="preserve"> that there would be substantial obstacles in getting approval. </w:t>
      </w:r>
      <w:r w:rsidR="007C4572" w:rsidRPr="00CE1D35">
        <w:t xml:space="preserve">It </w:t>
      </w:r>
      <w:r w:rsidR="007F1D0C" w:rsidRPr="00CE1D35">
        <w:t xml:space="preserve">intruded upon a Property In Care archaeological site, and other archaeological features. Landscape, tourism and biodiversity features were also affected. </w:t>
      </w:r>
      <w:r w:rsidR="005E4252" w:rsidRPr="00CE1D35">
        <w:t xml:space="preserve">A smaller less intrusive scheme was then proposed. </w:t>
      </w:r>
      <w:r w:rsidR="007F1D0C" w:rsidRPr="00CE1D35">
        <w:t xml:space="preserve">This revised scheme was then also judged to require an EIA, and to contain elements that were not UKFS compliant. </w:t>
      </w:r>
    </w:p>
    <w:p w14:paraId="4C5D070E" w14:textId="77777777" w:rsidR="005E4252" w:rsidRPr="00CE1D35" w:rsidRDefault="007F1D0C" w:rsidP="00A7000B">
      <w:pPr>
        <w:pBdr>
          <w:top w:val="single" w:sz="4" w:space="1" w:color="auto"/>
          <w:left w:val="single" w:sz="4" w:space="4" w:color="auto"/>
          <w:bottom w:val="single" w:sz="4" w:space="1" w:color="auto"/>
          <w:right w:val="single" w:sz="4" w:space="4" w:color="auto"/>
        </w:pBdr>
      </w:pPr>
      <w:r w:rsidRPr="00CE1D35">
        <w:t>The company decided to further test the water and a small scoping meeting was called. At this meeting it became apparent that the proposals were unlikely to make headway given the features that existed on the site, and the scheme appear</w:t>
      </w:r>
      <w:r w:rsidR="005E4252" w:rsidRPr="00CE1D35">
        <w:t>s</w:t>
      </w:r>
      <w:r w:rsidRPr="00CE1D35">
        <w:t xml:space="preserve"> to have been permanently abandoned (although of course the owners are free to submit a revised scheme at any time). While this was regarded as a good outcome by the local community, they were also left somewhat bemused by a process that allowed an afforestation proposal to be brought forward without any meaningful engagement with neighbouring residents. </w:t>
      </w:r>
    </w:p>
    <w:p w14:paraId="1EB3651B" w14:textId="6FCDFC82" w:rsidR="007F1D0C" w:rsidRPr="00CE1D35" w:rsidRDefault="007F1D0C" w:rsidP="00A7000B">
      <w:pPr>
        <w:pBdr>
          <w:top w:val="single" w:sz="4" w:space="1" w:color="auto"/>
          <w:left w:val="single" w:sz="4" w:space="4" w:color="auto"/>
          <w:bottom w:val="single" w:sz="4" w:space="1" w:color="auto"/>
          <w:right w:val="single" w:sz="4" w:space="4" w:color="auto"/>
        </w:pBdr>
      </w:pPr>
      <w:r w:rsidRPr="00CE1D35">
        <w:t xml:space="preserve">The forestry company involved did not follow the ‘spirit’ nor ‘letter’ of UKFS, and the process wasted their time and money, damaged their reputation, and wasted Scottish Forestry resources. </w:t>
      </w:r>
    </w:p>
    <w:p w14:paraId="52B61F5E" w14:textId="3D47CAD6" w:rsidR="0056316F" w:rsidRPr="00CE1D35" w:rsidRDefault="009468BA" w:rsidP="0056316F">
      <w:r w:rsidRPr="00CE1D35">
        <w:t xml:space="preserve"> </w:t>
      </w:r>
    </w:p>
    <w:p w14:paraId="6A965440" w14:textId="4E97B86E" w:rsidR="0056316F" w:rsidRPr="00CE1D35" w:rsidRDefault="0056316F" w:rsidP="00432F05">
      <w:pPr>
        <w:pBdr>
          <w:top w:val="single" w:sz="4" w:space="1" w:color="auto"/>
          <w:left w:val="single" w:sz="4" w:space="4" w:color="auto"/>
          <w:bottom w:val="single" w:sz="4" w:space="1" w:color="auto"/>
          <w:right w:val="single" w:sz="4" w:space="4" w:color="auto"/>
        </w:pBdr>
        <w:rPr>
          <w:b/>
          <w:bCs/>
        </w:rPr>
      </w:pPr>
      <w:r w:rsidRPr="00CE1D35">
        <w:rPr>
          <w:b/>
          <w:bCs/>
        </w:rPr>
        <w:t xml:space="preserve">Box </w:t>
      </w:r>
      <w:r w:rsidR="00CE1D35" w:rsidRPr="00CE1D35">
        <w:rPr>
          <w:b/>
          <w:bCs/>
        </w:rPr>
        <w:t>9</w:t>
      </w:r>
      <w:r w:rsidRPr="00CE1D35">
        <w:rPr>
          <w:b/>
          <w:bCs/>
        </w:rPr>
        <w:t xml:space="preserve">. </w:t>
      </w:r>
      <w:proofErr w:type="spellStart"/>
      <w:r w:rsidRPr="00CE1D35">
        <w:rPr>
          <w:b/>
          <w:bCs/>
        </w:rPr>
        <w:t>Cally</w:t>
      </w:r>
      <w:proofErr w:type="spellEnd"/>
      <w:r w:rsidRPr="00CE1D35">
        <w:rPr>
          <w:b/>
          <w:bCs/>
        </w:rPr>
        <w:t xml:space="preserve"> Woods</w:t>
      </w:r>
      <w:r w:rsidR="00F40D31" w:rsidRPr="00CE1D35">
        <w:rPr>
          <w:b/>
          <w:bCs/>
        </w:rPr>
        <w:t xml:space="preserve">. Local community involvement in </w:t>
      </w:r>
      <w:r w:rsidR="00315DA3" w:rsidRPr="00CE1D35">
        <w:rPr>
          <w:b/>
          <w:bCs/>
        </w:rPr>
        <w:t>management of national forest and land</w:t>
      </w:r>
    </w:p>
    <w:p w14:paraId="633A7DC5" w14:textId="10A3B36E" w:rsidR="007F1D0C" w:rsidRPr="00CE1D35" w:rsidRDefault="00F40D31" w:rsidP="00432F05">
      <w:pPr>
        <w:pBdr>
          <w:top w:val="single" w:sz="4" w:space="1" w:color="auto"/>
          <w:left w:val="single" w:sz="4" w:space="4" w:color="auto"/>
          <w:bottom w:val="single" w:sz="4" w:space="1" w:color="auto"/>
          <w:right w:val="single" w:sz="4" w:space="4" w:color="auto"/>
        </w:pBdr>
      </w:pPr>
      <w:r w:rsidRPr="00CE1D35">
        <w:t>The process of developing</w:t>
      </w:r>
      <w:r w:rsidR="0056316F" w:rsidRPr="00CE1D35">
        <w:t xml:space="preserve"> </w:t>
      </w:r>
      <w:r w:rsidRPr="00CE1D35">
        <w:t>a management strategy for</w:t>
      </w:r>
      <w:r w:rsidR="0056316F" w:rsidRPr="00CE1D35">
        <w:t xml:space="preserve"> the Fleet Valley </w:t>
      </w:r>
      <w:r w:rsidRPr="00CE1D35">
        <w:t xml:space="preserve">National Scenic Area used </w:t>
      </w:r>
      <w:r w:rsidR="00AE62FC" w:rsidRPr="00CE1D35">
        <w:t xml:space="preserve">a </w:t>
      </w:r>
      <w:r w:rsidR="0056316F" w:rsidRPr="00CE1D35">
        <w:t>participative process with local communities</w:t>
      </w:r>
      <w:r w:rsidRPr="00CE1D35">
        <w:t xml:space="preserve">, and </w:t>
      </w:r>
      <w:r w:rsidR="0056316F" w:rsidRPr="00CE1D35">
        <w:t>reflected community aspirations for their local landscape. One of the actions in the Cultural Heritage Action Plan for the Fleet Valley NSA (2003) was:</w:t>
      </w:r>
      <w:r w:rsidR="0056316F" w:rsidRPr="00CE1D35">
        <w:rPr>
          <w:rFonts w:ascii="Arial" w:hAnsi="Arial" w:cs="Arial"/>
          <w:color w:val="FFFF00"/>
          <w:sz w:val="36"/>
          <w:szCs w:val="36"/>
        </w:rPr>
        <w:t xml:space="preserve"> </w:t>
      </w:r>
      <w:r w:rsidR="0056316F" w:rsidRPr="00CE1D35">
        <w:t xml:space="preserve">Support production of landscape management plan for the designed landscape at </w:t>
      </w:r>
      <w:proofErr w:type="spellStart"/>
      <w:r w:rsidR="0056316F" w:rsidRPr="00CE1D35">
        <w:t>Cally</w:t>
      </w:r>
      <w:proofErr w:type="spellEnd"/>
      <w:r w:rsidR="0056316F" w:rsidRPr="00CE1D35">
        <w:t>.</w:t>
      </w:r>
      <w:r w:rsidRPr="00CE1D35">
        <w:rPr>
          <w:rFonts w:cs="Calibri"/>
          <w:color w:val="auto"/>
          <w:shd w:val="clear" w:color="auto" w:fill="auto"/>
        </w:rPr>
        <w:t xml:space="preserve"> </w:t>
      </w:r>
      <w:r w:rsidR="009A4DFD" w:rsidRPr="00CE1D35">
        <w:t>M</w:t>
      </w:r>
      <w:r w:rsidR="0056316F" w:rsidRPr="00CE1D35">
        <w:t xml:space="preserve">eetings were </w:t>
      </w:r>
      <w:r w:rsidR="009A4DFD" w:rsidRPr="00CE1D35">
        <w:t xml:space="preserve">then </w:t>
      </w:r>
      <w:r w:rsidR="0056316F" w:rsidRPr="00CE1D35">
        <w:t xml:space="preserve">held with all the stakeholders at </w:t>
      </w:r>
      <w:proofErr w:type="spellStart"/>
      <w:r w:rsidR="0056316F" w:rsidRPr="00CE1D35">
        <w:t>Cally</w:t>
      </w:r>
      <w:proofErr w:type="spellEnd"/>
      <w:r w:rsidR="0056316F" w:rsidRPr="00CE1D35">
        <w:t xml:space="preserve"> and the need for a management plan was agreed</w:t>
      </w:r>
      <w:r w:rsidR="00315DA3" w:rsidRPr="00CE1D35">
        <w:t xml:space="preserve">. </w:t>
      </w:r>
      <w:r w:rsidR="0056316F" w:rsidRPr="00CE1D35">
        <w:t>Gatehouse Development Initiative (</w:t>
      </w:r>
      <w:r w:rsidR="009A4DFD" w:rsidRPr="00CE1D35">
        <w:t>a charity established by the Community Council</w:t>
      </w:r>
      <w:r w:rsidR="0056316F" w:rsidRPr="00CE1D35">
        <w:t xml:space="preserve">) secured funds in 2007 to produce the </w:t>
      </w:r>
      <w:proofErr w:type="spellStart"/>
      <w:r w:rsidR="0056316F" w:rsidRPr="00CE1D35">
        <w:t>Cally</w:t>
      </w:r>
      <w:proofErr w:type="spellEnd"/>
      <w:r w:rsidR="0056316F" w:rsidRPr="00CE1D35">
        <w:t xml:space="preserve"> Management Plan and have been involved in its delivery ever since. They have been very successful at securing funds to drive forward actions and have a committed team of Fleet Valley volunteers who regularly undertake tasks in the woodland. </w:t>
      </w:r>
      <w:r w:rsidR="00315DA3" w:rsidRPr="00CE1D35">
        <w:t xml:space="preserve">As a result, </w:t>
      </w:r>
      <w:r w:rsidR="0056316F" w:rsidRPr="00CE1D35">
        <w:t xml:space="preserve">people know and value the Woods more and have a pride in the history and the restored heritage. They have a direct relationship with FLS staff and work on </w:t>
      </w:r>
      <w:r w:rsidR="009A4DFD" w:rsidRPr="00CE1D35">
        <w:t>management issues</w:t>
      </w:r>
      <w:r w:rsidR="0056316F" w:rsidRPr="00CE1D35">
        <w:t xml:space="preserve"> together.</w:t>
      </w:r>
    </w:p>
    <w:p w14:paraId="55F7DAE9" w14:textId="0D0F1248" w:rsidR="007F1D0C" w:rsidRPr="00CE1D35" w:rsidRDefault="00835A07" w:rsidP="007F1D0C">
      <w:pPr>
        <w:pStyle w:val="Heading2"/>
      </w:pPr>
      <w:bookmarkStart w:id="27" w:name="_Toc93249700"/>
      <w:r w:rsidRPr="00CE1D35">
        <w:t>Recommended</w:t>
      </w:r>
      <w:r w:rsidR="007F1D0C" w:rsidRPr="00CE1D35">
        <w:t xml:space="preserve"> changes</w:t>
      </w:r>
      <w:bookmarkEnd w:id="27"/>
    </w:p>
    <w:p w14:paraId="20960F83" w14:textId="77777777" w:rsidR="007F1D0C" w:rsidRPr="00CE1D35" w:rsidRDefault="007F1D0C" w:rsidP="007F1D0C">
      <w:r w:rsidRPr="00CE1D35">
        <w:t xml:space="preserve">UKFS2017 says: ‘Forests should be designed and managed to take account of the historical character and cultural values of the landscape.’ </w:t>
      </w:r>
    </w:p>
    <w:p w14:paraId="37DDD986" w14:textId="77777777" w:rsidR="007F1D0C" w:rsidRPr="00CE1D35" w:rsidRDefault="007F1D0C" w:rsidP="007F1D0C">
      <w:r w:rsidRPr="00CE1D35">
        <w:t xml:space="preserve">Many applications particularly for new forestry are failing to meet this criterion, because they do not seek the knowledge nor incorporate the values of relevant communities of interest and place. </w:t>
      </w:r>
    </w:p>
    <w:p w14:paraId="54EEC7B7" w14:textId="77777777" w:rsidR="007F1D0C" w:rsidRPr="00CE1D35" w:rsidRDefault="007F1D0C" w:rsidP="007F1D0C">
      <w:r w:rsidRPr="00CE1D35">
        <w:t xml:space="preserve">The revised UKFS should recognise the need for stakeholder and community engagement to fulfil this criterion. </w:t>
      </w:r>
    </w:p>
    <w:p w14:paraId="660448B3" w14:textId="5CA26548" w:rsidR="001A3F7D" w:rsidRDefault="001A3F7D" w:rsidP="007F1D0C">
      <w:pPr>
        <w:pStyle w:val="Heading1"/>
      </w:pPr>
      <w:bookmarkStart w:id="28" w:name="_Toc93249702"/>
      <w:r>
        <w:lastRenderedPageBreak/>
        <w:t>Organisations supporting this paper</w:t>
      </w:r>
    </w:p>
    <w:p w14:paraId="5D146361" w14:textId="715153B0" w:rsidR="001A3F7D" w:rsidRDefault="001A3F7D" w:rsidP="001A3F7D">
      <w:r>
        <w:t>This call to strengthen the People element of the UK Forestry Standard is supported by:</w:t>
      </w:r>
    </w:p>
    <w:p w14:paraId="42852B6C" w14:textId="15DADC13" w:rsidR="00AC4D86" w:rsidRDefault="00AC4D86" w:rsidP="001A3F7D">
      <w:r>
        <w:t>…</w:t>
      </w:r>
    </w:p>
    <w:p w14:paraId="015BB866" w14:textId="09DFA514" w:rsidR="00AC4D86" w:rsidRPr="001A3F7D" w:rsidRDefault="00AC4D86" w:rsidP="001A3F7D">
      <w:r>
        <w:t>Forest Policy Group</w:t>
      </w:r>
    </w:p>
    <w:p w14:paraId="6A3D1F98" w14:textId="4004D60D" w:rsidR="00AC4D86" w:rsidRDefault="00AC4D86" w:rsidP="001A3F7D">
      <w:r>
        <w:t>Trees for Life</w:t>
      </w:r>
    </w:p>
    <w:p w14:paraId="14948C4A" w14:textId="2AC85AE9" w:rsidR="00AC4D86" w:rsidRDefault="00AC4D86" w:rsidP="001A3F7D">
      <w:r>
        <w:t>…</w:t>
      </w:r>
    </w:p>
    <w:p w14:paraId="63545AFC" w14:textId="77777777" w:rsidR="00AC4D86" w:rsidRDefault="00AC4D86" w:rsidP="001A3F7D"/>
    <w:p w14:paraId="22E7808E" w14:textId="76B7033E" w:rsidR="007F1D0C" w:rsidRPr="00CE1D35" w:rsidRDefault="007F1D0C" w:rsidP="007F1D0C">
      <w:pPr>
        <w:pStyle w:val="Heading1"/>
      </w:pPr>
      <w:r w:rsidRPr="00CE1D35">
        <w:t>References</w:t>
      </w:r>
      <w:bookmarkEnd w:id="28"/>
      <w:r w:rsidRPr="00CE1D35">
        <w:t xml:space="preserve"> </w:t>
      </w:r>
    </w:p>
    <w:p w14:paraId="263B8DF2" w14:textId="77777777" w:rsidR="007F1D0C" w:rsidRPr="00CE1D35" w:rsidRDefault="007F1D0C" w:rsidP="007F1D0C">
      <w:pPr>
        <w:rPr>
          <w:b/>
          <w:bCs/>
        </w:rPr>
      </w:pPr>
      <w:r w:rsidRPr="00CE1D35">
        <w:rPr>
          <w:sz w:val="12"/>
          <w:szCs w:val="12"/>
        </w:rPr>
        <w:br/>
      </w:r>
      <w:r w:rsidRPr="00CE1D35">
        <w:rPr>
          <w:b/>
          <w:bCs/>
        </w:rPr>
        <w:t xml:space="preserve">The economic contribution report: </w:t>
      </w:r>
    </w:p>
    <w:p w14:paraId="55C145E5" w14:textId="77777777" w:rsidR="007F1D0C" w:rsidRPr="00CE1D35" w:rsidRDefault="007F1D0C" w:rsidP="007F1D0C">
      <w:r w:rsidRPr="00CE1D35">
        <w:t>CJC Consulting (2015). The economic contribution of the forestry sector in Scotland. CJC Consulting</w:t>
      </w:r>
      <w:r w:rsidRPr="00CE1D35">
        <w:rPr>
          <w:b/>
          <w:bCs/>
        </w:rPr>
        <w:t xml:space="preserve">: </w:t>
      </w:r>
      <w:r w:rsidRPr="00CE1D35">
        <w:t xml:space="preserve">38 pp. Available at: </w:t>
      </w:r>
      <w:hyperlink r:id="rId8" w:history="1">
        <w:r w:rsidRPr="00CE1D35">
          <w:rPr>
            <w:rStyle w:val="Hyperlink"/>
          </w:rPr>
          <w:t>https://forestry.gov.scot/forestry-business/economic-contribution-of-forestry</w:t>
        </w:r>
      </w:hyperlink>
    </w:p>
    <w:p w14:paraId="72A338E1" w14:textId="77777777" w:rsidR="007F1D0C" w:rsidRPr="00CE1D35" w:rsidRDefault="007F1D0C" w:rsidP="007F1D0C">
      <w:pPr>
        <w:rPr>
          <w:b/>
          <w:bCs/>
        </w:rPr>
      </w:pPr>
      <w:proofErr w:type="spellStart"/>
      <w:r w:rsidRPr="00CE1D35">
        <w:rPr>
          <w:b/>
          <w:bCs/>
        </w:rPr>
        <w:t>Confor’s</w:t>
      </w:r>
      <w:proofErr w:type="spellEnd"/>
      <w:r w:rsidRPr="00CE1D35">
        <w:rPr>
          <w:b/>
          <w:bCs/>
        </w:rPr>
        <w:t xml:space="preserve"> response to the UKFS consultation 2021: </w:t>
      </w:r>
    </w:p>
    <w:p w14:paraId="7ACA1602" w14:textId="77777777" w:rsidR="007F1D0C" w:rsidRPr="00CE1D35" w:rsidRDefault="007F1D0C" w:rsidP="007F1D0C">
      <w:pPr>
        <w:pStyle w:val="Default"/>
        <w:rPr>
          <w:rFonts w:eastAsia="Times New Roman"/>
          <w:sz w:val="22"/>
          <w:szCs w:val="22"/>
        </w:rPr>
      </w:pPr>
      <w:r w:rsidRPr="00CE1D35">
        <w:rPr>
          <w:color w:val="auto"/>
          <w:sz w:val="22"/>
          <w:szCs w:val="22"/>
        </w:rPr>
        <w:t xml:space="preserve">Confor (2021) Overview of the UK Forestry Standard. Confor response to the consultation. 6 pp. </w:t>
      </w:r>
      <w:r w:rsidRPr="00CE1D35">
        <w:rPr>
          <w:rFonts w:cstheme="minorHAnsi"/>
          <w:sz w:val="22"/>
          <w:szCs w:val="22"/>
        </w:rPr>
        <w:t xml:space="preserve">Available at: </w:t>
      </w:r>
      <w:hyperlink r:id="rId9" w:history="1">
        <w:r w:rsidRPr="00CE1D35">
          <w:rPr>
            <w:rStyle w:val="Hyperlink"/>
            <w:rFonts w:eastAsia="Times New Roman"/>
            <w:sz w:val="22"/>
            <w:szCs w:val="22"/>
          </w:rPr>
          <w:t>https://www.confor.org.uk/media/2678154/ukfs-consultation-response-aug-21.pdf</w:t>
        </w:r>
      </w:hyperlink>
    </w:p>
    <w:p w14:paraId="35BB37C0" w14:textId="77777777" w:rsidR="007F1D0C" w:rsidRPr="00CE1D35" w:rsidRDefault="007F1D0C" w:rsidP="007F1D0C">
      <w:pPr>
        <w:pStyle w:val="Default"/>
        <w:rPr>
          <w:color w:val="auto"/>
          <w:sz w:val="22"/>
          <w:szCs w:val="22"/>
        </w:rPr>
      </w:pPr>
    </w:p>
    <w:p w14:paraId="6A567F50" w14:textId="77777777" w:rsidR="007F1D0C" w:rsidRPr="00CE1D35" w:rsidRDefault="007F1D0C" w:rsidP="007F1D0C">
      <w:pPr>
        <w:rPr>
          <w:b/>
          <w:bCs/>
        </w:rPr>
      </w:pPr>
      <w:r w:rsidRPr="00CE1D35">
        <w:rPr>
          <w:b/>
          <w:bCs/>
        </w:rPr>
        <w:t xml:space="preserve">The </w:t>
      </w:r>
      <w:proofErr w:type="spellStart"/>
      <w:r w:rsidRPr="00CE1D35">
        <w:rPr>
          <w:b/>
          <w:bCs/>
        </w:rPr>
        <w:t>Cally</w:t>
      </w:r>
      <w:proofErr w:type="spellEnd"/>
      <w:r w:rsidRPr="00CE1D35">
        <w:rPr>
          <w:b/>
          <w:bCs/>
        </w:rPr>
        <w:t xml:space="preserve"> Woods case study: </w:t>
      </w:r>
    </w:p>
    <w:p w14:paraId="135F139B" w14:textId="1FC761BD" w:rsidR="007F1D0C" w:rsidRPr="00CE1D35" w:rsidRDefault="00AC184E" w:rsidP="007F1D0C">
      <w:pPr>
        <w:rPr>
          <w:rFonts w:cstheme="minorBidi"/>
        </w:rPr>
      </w:pPr>
      <w:r w:rsidRPr="00CE1D35">
        <w:t>Forestry Commission</w:t>
      </w:r>
      <w:r w:rsidR="007F1D0C" w:rsidRPr="00CE1D35">
        <w:t xml:space="preserve"> Scotland (2012): Managing the Historic Environment Case Study. 38 pp. Available at </w:t>
      </w:r>
      <w:hyperlink r:id="rId10" w:history="1">
        <w:r w:rsidR="007F1D0C" w:rsidRPr="00CE1D35">
          <w:rPr>
            <w:rStyle w:val="Hyperlink"/>
          </w:rPr>
          <w:t>https://forestry.gov.scot/publications/forests-and-the-environment/historic-environment/73-managing-the-historic-environment-case-study</w:t>
        </w:r>
      </w:hyperlink>
      <w:r w:rsidR="007F1D0C" w:rsidRPr="00CE1D35">
        <w:t xml:space="preserve"> </w:t>
      </w:r>
    </w:p>
    <w:p w14:paraId="417FD83B" w14:textId="77777777" w:rsidR="007F1D0C" w:rsidRPr="00CE1D35" w:rsidRDefault="007F1D0C" w:rsidP="007F1D0C">
      <w:pPr>
        <w:rPr>
          <w:b/>
          <w:bCs/>
        </w:rPr>
      </w:pPr>
      <w:r w:rsidRPr="00CE1D35">
        <w:rPr>
          <w:b/>
          <w:bCs/>
        </w:rPr>
        <w:t xml:space="preserve">The SUP / BFT report  study: </w:t>
      </w:r>
    </w:p>
    <w:p w14:paraId="60972EBE" w14:textId="77777777" w:rsidR="007F1D0C" w:rsidRPr="00CE1D35" w:rsidRDefault="007F1D0C" w:rsidP="007F1D0C">
      <w:r w:rsidRPr="00CE1D35">
        <w:t>Lawrence, A. and P. Tabor (2020). Stakeholder engagement to inform development of a Regional Woodland Creation Framework. Report commissioned by Scottish Borders Council. Southern Uplands Partnership / Borders Forest Trust.</w:t>
      </w:r>
      <w:r w:rsidRPr="00CE1D35">
        <w:rPr>
          <w:b/>
          <w:bCs/>
        </w:rPr>
        <w:t xml:space="preserve">: </w:t>
      </w:r>
      <w:r w:rsidRPr="00CE1D35">
        <w:t xml:space="preserve">81 pp. Available at: </w:t>
      </w:r>
      <w:hyperlink r:id="rId11" w:history="1">
        <w:r w:rsidRPr="00CE1D35">
          <w:rPr>
            <w:rStyle w:val="Hyperlink"/>
          </w:rPr>
          <w:t>https://forestry.gov.scot/publications/817-stakeholder-engagement-to-inform-development-of-a-regional-woodland-creation-framework-scottish-borders-pilot-areas-1-2</w:t>
        </w:r>
      </w:hyperlink>
      <w:r w:rsidRPr="00CE1D35">
        <w:t xml:space="preserve"> </w:t>
      </w:r>
    </w:p>
    <w:p w14:paraId="22E90AAA" w14:textId="77777777" w:rsidR="007F1D0C" w:rsidRPr="00CE1D35" w:rsidRDefault="007F1D0C" w:rsidP="007F1D0C">
      <w:pPr>
        <w:rPr>
          <w:b/>
          <w:bCs/>
        </w:rPr>
      </w:pPr>
      <w:r w:rsidRPr="00CE1D35">
        <w:rPr>
          <w:b/>
          <w:bCs/>
        </w:rPr>
        <w:t>The SEPA report:</w:t>
      </w:r>
    </w:p>
    <w:p w14:paraId="614AD4DA" w14:textId="77777777" w:rsidR="007F1D0C" w:rsidRPr="00CE1D35" w:rsidRDefault="007F1D0C" w:rsidP="007F1D0C">
      <w:r w:rsidRPr="00CE1D35">
        <w:t xml:space="preserve">SEPA (2020) Forestry and wood processing sector plan. 50 pp. Available at </w:t>
      </w:r>
      <w:hyperlink r:id="rId12" w:history="1">
        <w:r w:rsidRPr="00CE1D35">
          <w:rPr>
            <w:rStyle w:val="Hyperlink"/>
          </w:rPr>
          <w:t>https://sectors.sepa.org.uk/media/1180/forestry_and_wood_sector-plan_feb_2020-v6edits.pdf</w:t>
        </w:r>
      </w:hyperlink>
      <w:r w:rsidRPr="00CE1D35">
        <w:t xml:space="preserve">. </w:t>
      </w:r>
    </w:p>
    <w:p w14:paraId="5CC8DBBB" w14:textId="3CF78AD4" w:rsidR="008463E4" w:rsidRPr="00CE1D35" w:rsidRDefault="008463E4" w:rsidP="007F1D0C">
      <w:pPr>
        <w:rPr>
          <w:b/>
          <w:bCs/>
        </w:rPr>
      </w:pPr>
      <w:r w:rsidRPr="00CE1D35">
        <w:rPr>
          <w:b/>
          <w:bCs/>
        </w:rPr>
        <w:t>The Southern Upland</w:t>
      </w:r>
      <w:r w:rsidR="00431D2B" w:rsidRPr="00CE1D35">
        <w:rPr>
          <w:b/>
          <w:bCs/>
        </w:rPr>
        <w:t>s</w:t>
      </w:r>
      <w:r w:rsidRPr="00CE1D35">
        <w:rPr>
          <w:b/>
          <w:bCs/>
        </w:rPr>
        <w:t xml:space="preserve"> Partnership position statement: </w:t>
      </w:r>
    </w:p>
    <w:p w14:paraId="5C57F960" w14:textId="7E837271" w:rsidR="008463E4" w:rsidRPr="00CE1D35" w:rsidRDefault="00D008F1" w:rsidP="007F1D0C">
      <w:r w:rsidRPr="00CE1D35">
        <w:t>SUP</w:t>
      </w:r>
      <w:r w:rsidR="00D14214" w:rsidRPr="00CE1D35">
        <w:t xml:space="preserve"> (2021) Our vision for trees, forests and woodlands in Southern Scotland. </w:t>
      </w:r>
      <w:r w:rsidRPr="00CE1D35">
        <w:t xml:space="preserve">The Southern Uplands Partnership. </w:t>
      </w:r>
      <w:r w:rsidR="008463E4" w:rsidRPr="00CE1D35">
        <w:t xml:space="preserve">Available at </w:t>
      </w:r>
      <w:hyperlink r:id="rId13" w:history="1">
        <w:r w:rsidR="008463E4" w:rsidRPr="00CE1D35">
          <w:rPr>
            <w:rStyle w:val="Hyperlink"/>
          </w:rPr>
          <w:t>http://sup.org.uk/publications/</w:t>
        </w:r>
      </w:hyperlink>
      <w:r w:rsidR="008463E4" w:rsidRPr="00CE1D35">
        <w:t xml:space="preserve"> </w:t>
      </w:r>
    </w:p>
    <w:p w14:paraId="7BD82F15" w14:textId="5767ED6E" w:rsidR="001325A0" w:rsidRPr="00CE1D35" w:rsidRDefault="000B0CD1" w:rsidP="007F1D0C">
      <w:pPr>
        <w:rPr>
          <w:b/>
          <w:bCs/>
        </w:rPr>
      </w:pPr>
      <w:r w:rsidRPr="00CE1D35">
        <w:rPr>
          <w:b/>
          <w:bCs/>
        </w:rPr>
        <w:t xml:space="preserve">Evidence on the contribution of small local businesses: </w:t>
      </w:r>
    </w:p>
    <w:p w14:paraId="3C69F704" w14:textId="77777777" w:rsidR="00505C2A" w:rsidRPr="00CE1D35" w:rsidRDefault="00505C2A" w:rsidP="00D40372">
      <w:pPr>
        <w:rPr>
          <w:shd w:val="clear" w:color="auto" w:fill="auto"/>
        </w:rPr>
      </w:pPr>
      <w:r w:rsidRPr="00CE1D35">
        <w:rPr>
          <w:shd w:val="clear" w:color="auto" w:fill="auto"/>
        </w:rPr>
        <w:t xml:space="preserve">A suite of case studies of small local forest-based businesses can be found at: </w:t>
      </w:r>
    </w:p>
    <w:p w14:paraId="61F10109" w14:textId="51C89222" w:rsidR="00505C2A" w:rsidRPr="00CE1D35" w:rsidRDefault="00880221" w:rsidP="00D40372">
      <w:pPr>
        <w:rPr>
          <w:shd w:val="clear" w:color="auto" w:fill="auto"/>
        </w:rPr>
      </w:pPr>
      <w:hyperlink r:id="rId14" w:history="1">
        <w:r w:rsidR="00D40372" w:rsidRPr="00CE1D35">
          <w:rPr>
            <w:rStyle w:val="Hyperlink"/>
          </w:rPr>
          <w:t>http://www.forestpolicygroup.org/case-studies/</w:t>
        </w:r>
      </w:hyperlink>
    </w:p>
    <w:p w14:paraId="7CE3E190" w14:textId="4836308A" w:rsidR="000B0CD1" w:rsidRPr="00CE1D35" w:rsidRDefault="000B0CD1" w:rsidP="00D40372">
      <w:pPr>
        <w:rPr>
          <w:shd w:val="clear" w:color="auto" w:fill="auto"/>
        </w:rPr>
      </w:pPr>
      <w:r w:rsidRPr="00CE1D35">
        <w:rPr>
          <w:shd w:val="clear" w:color="auto" w:fill="auto"/>
        </w:rPr>
        <w:t xml:space="preserve">Watt, G. and W. McGhee (2018). Estimating the Size of the Economic Contribution of Small Scale </w:t>
      </w:r>
      <w:r w:rsidRPr="00CE1D35">
        <w:rPr>
          <w:shd w:val="clear" w:color="auto" w:fill="auto"/>
        </w:rPr>
        <w:lastRenderedPageBreak/>
        <w:t>Woodland Related Businesses in Scotland. August 2018. Unpublished report Forestry Commission, Edinburgh 2018.</w:t>
      </w:r>
    </w:p>
    <w:p w14:paraId="2681714F" w14:textId="36E19A34" w:rsidR="009157ED" w:rsidRPr="00CE1D35" w:rsidRDefault="009157ED" w:rsidP="00D40372">
      <w:pPr>
        <w:rPr>
          <w:shd w:val="clear" w:color="auto" w:fill="auto"/>
        </w:rPr>
      </w:pPr>
      <w:r w:rsidRPr="00CE1D35">
        <w:rPr>
          <w:shd w:val="clear" w:color="auto" w:fill="auto"/>
        </w:rPr>
        <w:t xml:space="preserve">Worrell, R., Lawrence A., Watt G., Pepper S. and W. McGhee (2018). "Small local forestry businesses in Scotland." </w:t>
      </w:r>
      <w:r w:rsidRPr="00CE1D35">
        <w:rPr>
          <w:u w:val="single"/>
          <w:shd w:val="clear" w:color="auto" w:fill="auto"/>
        </w:rPr>
        <w:t>Scottish Forestry</w:t>
      </w:r>
      <w:r w:rsidRPr="00CE1D35">
        <w:rPr>
          <w:shd w:val="clear" w:color="auto" w:fill="auto"/>
        </w:rPr>
        <w:t xml:space="preserve"> </w:t>
      </w:r>
      <w:r w:rsidRPr="00CE1D35">
        <w:rPr>
          <w:b/>
          <w:bCs/>
          <w:shd w:val="clear" w:color="auto" w:fill="auto"/>
        </w:rPr>
        <w:t>72</w:t>
      </w:r>
      <w:r w:rsidRPr="00CE1D35">
        <w:rPr>
          <w:shd w:val="clear" w:color="auto" w:fill="auto"/>
        </w:rPr>
        <w:t>(3): 38-44.</w:t>
      </w:r>
    </w:p>
    <w:p w14:paraId="521CF040" w14:textId="43E55A9B" w:rsidR="00195841" w:rsidRPr="00CE1D35" w:rsidRDefault="00195841" w:rsidP="00885088">
      <w:pPr>
        <w:widowControl/>
        <w:autoSpaceDE w:val="0"/>
        <w:autoSpaceDN w:val="0"/>
        <w:adjustRightInd w:val="0"/>
        <w:spacing w:after="0" w:line="240" w:lineRule="auto"/>
        <w:rPr>
          <w:rFonts w:ascii="Segoe UI" w:hAnsi="Segoe UI" w:cs="Segoe UI"/>
          <w:color w:val="auto"/>
          <w:sz w:val="18"/>
          <w:szCs w:val="18"/>
          <w:shd w:val="clear" w:color="auto" w:fill="auto"/>
        </w:rPr>
      </w:pPr>
    </w:p>
    <w:p w14:paraId="4B3AABFC" w14:textId="77777777" w:rsidR="00CE1D35" w:rsidRPr="00CE1D35" w:rsidRDefault="00CE1D35">
      <w:pPr>
        <w:widowControl/>
        <w:rPr>
          <w:rFonts w:asciiTheme="majorHAnsi" w:eastAsiaTheme="majorEastAsia" w:hAnsiTheme="majorHAnsi" w:cstheme="majorBidi"/>
          <w:color w:val="2F5496" w:themeColor="accent1" w:themeShade="BF"/>
          <w:sz w:val="32"/>
          <w:szCs w:val="32"/>
        </w:rPr>
      </w:pPr>
      <w:r w:rsidRPr="00CE1D35">
        <w:br w:type="page"/>
      </w:r>
    </w:p>
    <w:p w14:paraId="0E01ECD9" w14:textId="301FB39F" w:rsidR="00401CC7" w:rsidRPr="00CE1D35" w:rsidRDefault="00401CC7" w:rsidP="00195841">
      <w:pPr>
        <w:pStyle w:val="Heading1"/>
        <w:numPr>
          <w:ilvl w:val="0"/>
          <w:numId w:val="0"/>
        </w:numPr>
      </w:pPr>
      <w:r w:rsidRPr="00CE1D35">
        <w:lastRenderedPageBreak/>
        <w:t xml:space="preserve">Appendix 1. </w:t>
      </w:r>
      <w:r w:rsidR="00496C0C" w:rsidRPr="00CE1D35">
        <w:t xml:space="preserve">Forestry Statistics: data on new planting by size category and by Conservancy. </w:t>
      </w:r>
    </w:p>
    <w:p w14:paraId="71E62FE0" w14:textId="77777777" w:rsidR="00401CC7" w:rsidRPr="00CE1D35" w:rsidRDefault="00401CC7" w:rsidP="00401CC7">
      <w:r w:rsidRPr="00CE1D35">
        <w:t>FGS approvals to July 2021</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
        <w:gridCol w:w="1134"/>
        <w:gridCol w:w="1418"/>
        <w:gridCol w:w="1134"/>
        <w:gridCol w:w="1739"/>
        <w:gridCol w:w="840"/>
      </w:tblGrid>
      <w:tr w:rsidR="00401CC7" w:rsidRPr="00CE1D35" w14:paraId="54B0F3EC" w14:textId="77777777" w:rsidTr="002D2EEB">
        <w:trPr>
          <w:trHeight w:val="85"/>
        </w:trPr>
        <w:tc>
          <w:tcPr>
            <w:tcW w:w="1985" w:type="dxa"/>
            <w:shd w:val="clear" w:color="auto" w:fill="D9D9D9" w:themeFill="background1" w:themeFillShade="D9"/>
            <w:vAlign w:val="bottom"/>
            <w:hideMark/>
          </w:tcPr>
          <w:p w14:paraId="26C7869C" w14:textId="77777777" w:rsidR="00401CC7" w:rsidRPr="00CE1D35" w:rsidRDefault="00401CC7" w:rsidP="002D2EEB">
            <w:pPr>
              <w:spacing w:after="0" w:line="240" w:lineRule="auto"/>
              <w:rPr>
                <w:rFonts w:eastAsia="Times New Roman" w:cs="Times New Roman"/>
                <w:b/>
                <w:bCs/>
                <w:szCs w:val="24"/>
                <w:lang w:eastAsia="en-GB"/>
              </w:rPr>
            </w:pPr>
            <w:r w:rsidRPr="00CE1D35">
              <w:rPr>
                <w:rFonts w:eastAsia="Times New Roman" w:cs="Times New Roman"/>
                <w:b/>
                <w:bCs/>
                <w:szCs w:val="24"/>
                <w:lang w:eastAsia="en-GB"/>
              </w:rPr>
              <w:t>Size Category</w:t>
            </w:r>
          </w:p>
        </w:tc>
        <w:tc>
          <w:tcPr>
            <w:tcW w:w="850" w:type="dxa"/>
            <w:shd w:val="clear" w:color="auto" w:fill="D9D9D9" w:themeFill="background1" w:themeFillShade="D9"/>
            <w:vAlign w:val="bottom"/>
            <w:hideMark/>
          </w:tcPr>
          <w:p w14:paraId="4F83C73E" w14:textId="77777777" w:rsidR="00401CC7" w:rsidRPr="00CE1D35" w:rsidRDefault="00401CC7" w:rsidP="002D2EEB">
            <w:pPr>
              <w:spacing w:after="0" w:line="240" w:lineRule="auto"/>
              <w:jc w:val="right"/>
              <w:rPr>
                <w:rFonts w:eastAsia="Times New Roman" w:cs="Times New Roman"/>
                <w:b/>
                <w:bCs/>
                <w:szCs w:val="24"/>
                <w:lang w:eastAsia="en-GB"/>
              </w:rPr>
            </w:pPr>
            <w:r w:rsidRPr="00CE1D35">
              <w:rPr>
                <w:rFonts w:eastAsia="Times New Roman" w:cs="Times New Roman"/>
                <w:b/>
                <w:bCs/>
                <w:szCs w:val="24"/>
                <w:lang w:eastAsia="en-GB"/>
              </w:rPr>
              <w:t>#</w:t>
            </w:r>
          </w:p>
        </w:tc>
        <w:tc>
          <w:tcPr>
            <w:tcW w:w="1134" w:type="dxa"/>
            <w:shd w:val="clear" w:color="auto" w:fill="D9D9D9" w:themeFill="background1" w:themeFillShade="D9"/>
            <w:vAlign w:val="bottom"/>
            <w:hideMark/>
          </w:tcPr>
          <w:p w14:paraId="0D7F74B0" w14:textId="77777777" w:rsidR="00401CC7" w:rsidRPr="00CE1D35" w:rsidRDefault="00401CC7" w:rsidP="002D2EEB">
            <w:pPr>
              <w:spacing w:after="0" w:line="240" w:lineRule="auto"/>
              <w:jc w:val="right"/>
              <w:rPr>
                <w:rFonts w:eastAsia="Times New Roman" w:cs="Times New Roman"/>
                <w:b/>
                <w:szCs w:val="24"/>
                <w:lang w:eastAsia="en-GB"/>
              </w:rPr>
            </w:pPr>
            <w:r w:rsidRPr="00CE1D35">
              <w:rPr>
                <w:rFonts w:eastAsia="Times New Roman" w:cs="Times New Roman"/>
                <w:b/>
                <w:szCs w:val="24"/>
                <w:lang w:eastAsia="en-GB"/>
              </w:rPr>
              <w:t># % </w:t>
            </w:r>
          </w:p>
        </w:tc>
        <w:tc>
          <w:tcPr>
            <w:tcW w:w="1418" w:type="dxa"/>
            <w:shd w:val="clear" w:color="auto" w:fill="D9D9D9" w:themeFill="background1" w:themeFillShade="D9"/>
            <w:vAlign w:val="bottom"/>
            <w:hideMark/>
          </w:tcPr>
          <w:p w14:paraId="6DAC2B46" w14:textId="77777777" w:rsidR="00401CC7" w:rsidRPr="00CE1D35" w:rsidRDefault="00401CC7" w:rsidP="002D2EEB">
            <w:pPr>
              <w:spacing w:after="0" w:line="240" w:lineRule="auto"/>
              <w:jc w:val="right"/>
              <w:rPr>
                <w:rFonts w:eastAsia="Times New Roman" w:cs="Times New Roman"/>
                <w:b/>
                <w:bCs/>
                <w:szCs w:val="24"/>
                <w:lang w:eastAsia="en-GB"/>
              </w:rPr>
            </w:pPr>
            <w:r w:rsidRPr="00CE1D35">
              <w:rPr>
                <w:rFonts w:eastAsia="Times New Roman" w:cs="Times New Roman"/>
                <w:b/>
                <w:bCs/>
                <w:szCs w:val="24"/>
                <w:lang w:eastAsia="en-GB"/>
              </w:rPr>
              <w:t>Area (ha)</w:t>
            </w:r>
          </w:p>
        </w:tc>
        <w:tc>
          <w:tcPr>
            <w:tcW w:w="1134" w:type="dxa"/>
            <w:shd w:val="clear" w:color="auto" w:fill="D9D9D9" w:themeFill="background1" w:themeFillShade="D9"/>
            <w:vAlign w:val="bottom"/>
            <w:hideMark/>
          </w:tcPr>
          <w:p w14:paraId="01050422" w14:textId="77777777" w:rsidR="00401CC7" w:rsidRPr="00CE1D35" w:rsidRDefault="00401CC7" w:rsidP="002D2EEB">
            <w:pPr>
              <w:spacing w:after="0" w:line="240" w:lineRule="auto"/>
              <w:jc w:val="right"/>
              <w:rPr>
                <w:rFonts w:eastAsia="Times New Roman" w:cs="Times New Roman"/>
                <w:b/>
                <w:bCs/>
                <w:szCs w:val="24"/>
                <w:lang w:eastAsia="en-GB"/>
              </w:rPr>
            </w:pPr>
            <w:r w:rsidRPr="00CE1D35">
              <w:rPr>
                <w:rFonts w:eastAsia="Times New Roman" w:cs="Times New Roman"/>
                <w:b/>
                <w:bCs/>
                <w:szCs w:val="24"/>
                <w:lang w:eastAsia="en-GB"/>
              </w:rPr>
              <w:t>area %</w:t>
            </w:r>
          </w:p>
        </w:tc>
        <w:tc>
          <w:tcPr>
            <w:tcW w:w="1739" w:type="dxa"/>
            <w:shd w:val="clear" w:color="auto" w:fill="D9D9D9" w:themeFill="background1" w:themeFillShade="D9"/>
            <w:vAlign w:val="bottom"/>
            <w:hideMark/>
          </w:tcPr>
          <w:p w14:paraId="387C4ED0" w14:textId="77777777" w:rsidR="00401CC7" w:rsidRPr="00CE1D35" w:rsidRDefault="00401CC7" w:rsidP="002D2EEB">
            <w:pPr>
              <w:spacing w:after="0" w:line="240" w:lineRule="auto"/>
              <w:jc w:val="right"/>
              <w:rPr>
                <w:rFonts w:eastAsia="Times New Roman" w:cs="Times New Roman"/>
                <w:b/>
                <w:bCs/>
                <w:szCs w:val="24"/>
                <w:lang w:eastAsia="en-GB"/>
              </w:rPr>
            </w:pPr>
            <w:r w:rsidRPr="00CE1D35">
              <w:rPr>
                <w:rFonts w:eastAsia="Times New Roman" w:cs="Times New Roman"/>
                <w:b/>
                <w:bCs/>
                <w:szCs w:val="24"/>
                <w:lang w:eastAsia="en-GB"/>
              </w:rPr>
              <w:t>Cost £</w:t>
            </w:r>
          </w:p>
        </w:tc>
        <w:tc>
          <w:tcPr>
            <w:tcW w:w="840" w:type="dxa"/>
            <w:shd w:val="clear" w:color="auto" w:fill="D9D9D9" w:themeFill="background1" w:themeFillShade="D9"/>
            <w:noWrap/>
            <w:vAlign w:val="bottom"/>
            <w:hideMark/>
          </w:tcPr>
          <w:p w14:paraId="13E85FD4" w14:textId="77777777" w:rsidR="00401CC7" w:rsidRPr="00CE1D35" w:rsidRDefault="00401CC7" w:rsidP="002D2EEB">
            <w:pPr>
              <w:spacing w:after="0" w:line="240" w:lineRule="auto"/>
              <w:jc w:val="right"/>
              <w:rPr>
                <w:rFonts w:eastAsia="Times New Roman" w:cs="Times New Roman"/>
                <w:b/>
                <w:bCs/>
                <w:szCs w:val="24"/>
                <w:lang w:eastAsia="en-GB"/>
              </w:rPr>
            </w:pPr>
            <w:r w:rsidRPr="00CE1D35">
              <w:rPr>
                <w:rFonts w:eastAsia="Times New Roman" w:cs="Times New Roman"/>
                <w:b/>
                <w:bCs/>
                <w:szCs w:val="24"/>
                <w:lang w:eastAsia="en-GB"/>
              </w:rPr>
              <w:t>£ %</w:t>
            </w:r>
          </w:p>
        </w:tc>
      </w:tr>
      <w:tr w:rsidR="00401CC7" w:rsidRPr="00CE1D35" w14:paraId="19B29517" w14:textId="77777777" w:rsidTr="002D2EEB">
        <w:trPr>
          <w:trHeight w:val="85"/>
        </w:trPr>
        <w:tc>
          <w:tcPr>
            <w:tcW w:w="1985" w:type="dxa"/>
            <w:shd w:val="clear" w:color="000000" w:fill="F8FAFB"/>
            <w:hideMark/>
          </w:tcPr>
          <w:p w14:paraId="238A8F82" w14:textId="77777777" w:rsidR="00401CC7" w:rsidRPr="00CE1D35" w:rsidRDefault="00401CC7" w:rsidP="002D2EEB">
            <w:pPr>
              <w:spacing w:after="0" w:line="240" w:lineRule="auto"/>
              <w:rPr>
                <w:rFonts w:eastAsia="Times New Roman" w:cs="Times New Roman"/>
                <w:szCs w:val="24"/>
                <w:lang w:eastAsia="en-GB"/>
              </w:rPr>
            </w:pPr>
            <w:r w:rsidRPr="00CE1D35">
              <w:rPr>
                <w:rFonts w:eastAsia="Times New Roman" w:cs="Times New Roman"/>
                <w:color w:val="333333"/>
                <w:szCs w:val="24"/>
                <w:lang w:eastAsia="en-GB"/>
              </w:rPr>
              <w:t>&lt;5 ha</w:t>
            </w:r>
          </w:p>
        </w:tc>
        <w:tc>
          <w:tcPr>
            <w:tcW w:w="850" w:type="dxa"/>
            <w:shd w:val="clear" w:color="000000" w:fill="F8FAFB"/>
            <w:noWrap/>
            <w:hideMark/>
          </w:tcPr>
          <w:p w14:paraId="15B041D9"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396</w:t>
            </w:r>
          </w:p>
        </w:tc>
        <w:tc>
          <w:tcPr>
            <w:tcW w:w="1134" w:type="dxa"/>
            <w:shd w:val="clear" w:color="000000" w:fill="F8FAFB"/>
            <w:noWrap/>
            <w:hideMark/>
          </w:tcPr>
          <w:p w14:paraId="25DAF095"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28.3%</w:t>
            </w:r>
          </w:p>
        </w:tc>
        <w:tc>
          <w:tcPr>
            <w:tcW w:w="1418" w:type="dxa"/>
            <w:shd w:val="clear" w:color="000000" w:fill="F8FAFB"/>
            <w:noWrap/>
            <w:hideMark/>
          </w:tcPr>
          <w:p w14:paraId="5B4C5A4C"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959</w:t>
            </w:r>
          </w:p>
        </w:tc>
        <w:tc>
          <w:tcPr>
            <w:tcW w:w="1134" w:type="dxa"/>
            <w:shd w:val="clear" w:color="000000" w:fill="F8FAFB"/>
            <w:noWrap/>
            <w:hideMark/>
          </w:tcPr>
          <w:p w14:paraId="1B30EB1B"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1.7%</w:t>
            </w:r>
          </w:p>
        </w:tc>
        <w:tc>
          <w:tcPr>
            <w:tcW w:w="1739" w:type="dxa"/>
            <w:shd w:val="clear" w:color="000000" w:fill="F8FAFB"/>
            <w:noWrap/>
            <w:hideMark/>
          </w:tcPr>
          <w:p w14:paraId="3EB827F3"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6,634,413</w:t>
            </w:r>
          </w:p>
        </w:tc>
        <w:tc>
          <w:tcPr>
            <w:tcW w:w="840" w:type="dxa"/>
            <w:shd w:val="clear" w:color="auto" w:fill="auto"/>
            <w:noWrap/>
            <w:hideMark/>
          </w:tcPr>
          <w:p w14:paraId="39E17782" w14:textId="77777777" w:rsidR="00401CC7" w:rsidRPr="00CE1D35" w:rsidRDefault="00401CC7" w:rsidP="002D2EEB">
            <w:pPr>
              <w:spacing w:after="0" w:line="240" w:lineRule="auto"/>
              <w:rPr>
                <w:rFonts w:eastAsia="Times New Roman" w:cs="Times New Roman"/>
                <w:color w:val="000000"/>
                <w:szCs w:val="24"/>
                <w:lang w:eastAsia="en-GB"/>
              </w:rPr>
            </w:pPr>
            <w:r w:rsidRPr="00CE1D35">
              <w:rPr>
                <w:rFonts w:eastAsia="Times New Roman" w:cs="Times New Roman"/>
                <w:color w:val="000000"/>
                <w:szCs w:val="24"/>
                <w:lang w:eastAsia="en-GB"/>
              </w:rPr>
              <w:t>2.9%</w:t>
            </w:r>
          </w:p>
        </w:tc>
      </w:tr>
      <w:tr w:rsidR="00401CC7" w:rsidRPr="00CE1D35" w14:paraId="461EDB92" w14:textId="77777777" w:rsidTr="002D2EEB">
        <w:trPr>
          <w:trHeight w:val="85"/>
        </w:trPr>
        <w:tc>
          <w:tcPr>
            <w:tcW w:w="1985" w:type="dxa"/>
            <w:shd w:val="clear" w:color="auto" w:fill="auto"/>
            <w:hideMark/>
          </w:tcPr>
          <w:p w14:paraId="730E452E" w14:textId="77777777" w:rsidR="00401CC7" w:rsidRPr="00CE1D35" w:rsidRDefault="00401CC7" w:rsidP="002D2EEB">
            <w:pPr>
              <w:spacing w:after="0" w:line="240" w:lineRule="auto"/>
              <w:rPr>
                <w:rFonts w:eastAsia="Times New Roman" w:cs="Times New Roman"/>
                <w:szCs w:val="24"/>
                <w:lang w:eastAsia="en-GB"/>
              </w:rPr>
            </w:pPr>
            <w:r w:rsidRPr="00CE1D35">
              <w:rPr>
                <w:rFonts w:eastAsia="Times New Roman" w:cs="Times New Roman"/>
                <w:color w:val="333333"/>
                <w:szCs w:val="24"/>
                <w:lang w:eastAsia="en-GB"/>
              </w:rPr>
              <w:t>5-10 ha</w:t>
            </w:r>
          </w:p>
        </w:tc>
        <w:tc>
          <w:tcPr>
            <w:tcW w:w="850" w:type="dxa"/>
            <w:shd w:val="clear" w:color="auto" w:fill="auto"/>
            <w:noWrap/>
            <w:hideMark/>
          </w:tcPr>
          <w:p w14:paraId="0580EDE6"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220</w:t>
            </w:r>
          </w:p>
        </w:tc>
        <w:tc>
          <w:tcPr>
            <w:tcW w:w="1134" w:type="dxa"/>
            <w:shd w:val="clear" w:color="000000" w:fill="F8FAFB"/>
            <w:noWrap/>
            <w:hideMark/>
          </w:tcPr>
          <w:p w14:paraId="3E335185"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15.7%</w:t>
            </w:r>
          </w:p>
        </w:tc>
        <w:tc>
          <w:tcPr>
            <w:tcW w:w="1418" w:type="dxa"/>
            <w:shd w:val="clear" w:color="auto" w:fill="auto"/>
            <w:noWrap/>
            <w:hideMark/>
          </w:tcPr>
          <w:p w14:paraId="51CB214C"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1,597</w:t>
            </w:r>
          </w:p>
        </w:tc>
        <w:tc>
          <w:tcPr>
            <w:tcW w:w="1134" w:type="dxa"/>
            <w:shd w:val="clear" w:color="000000" w:fill="F8FAFB"/>
            <w:noWrap/>
            <w:hideMark/>
          </w:tcPr>
          <w:p w14:paraId="78C95379"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2.9%</w:t>
            </w:r>
          </w:p>
        </w:tc>
        <w:tc>
          <w:tcPr>
            <w:tcW w:w="1739" w:type="dxa"/>
            <w:shd w:val="clear" w:color="auto" w:fill="auto"/>
            <w:noWrap/>
            <w:hideMark/>
          </w:tcPr>
          <w:p w14:paraId="5E943441"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9,778,040</w:t>
            </w:r>
          </w:p>
        </w:tc>
        <w:tc>
          <w:tcPr>
            <w:tcW w:w="840" w:type="dxa"/>
            <w:shd w:val="clear" w:color="auto" w:fill="auto"/>
            <w:noWrap/>
            <w:hideMark/>
          </w:tcPr>
          <w:p w14:paraId="76A57FA5" w14:textId="77777777" w:rsidR="00401CC7" w:rsidRPr="00CE1D35" w:rsidRDefault="00401CC7" w:rsidP="002D2EEB">
            <w:pPr>
              <w:spacing w:after="0" w:line="240" w:lineRule="auto"/>
              <w:rPr>
                <w:rFonts w:eastAsia="Times New Roman" w:cs="Times New Roman"/>
                <w:color w:val="000000"/>
                <w:szCs w:val="24"/>
                <w:lang w:eastAsia="en-GB"/>
              </w:rPr>
            </w:pPr>
            <w:r w:rsidRPr="00CE1D35">
              <w:rPr>
                <w:rFonts w:eastAsia="Times New Roman" w:cs="Times New Roman"/>
                <w:color w:val="000000"/>
                <w:szCs w:val="24"/>
                <w:lang w:eastAsia="en-GB"/>
              </w:rPr>
              <w:t>4.2%</w:t>
            </w:r>
          </w:p>
        </w:tc>
      </w:tr>
      <w:tr w:rsidR="00401CC7" w:rsidRPr="00CE1D35" w14:paraId="73AEFAD3" w14:textId="77777777" w:rsidTr="002D2EEB">
        <w:trPr>
          <w:trHeight w:val="85"/>
        </w:trPr>
        <w:tc>
          <w:tcPr>
            <w:tcW w:w="1985" w:type="dxa"/>
            <w:shd w:val="clear" w:color="000000" w:fill="F8FAFB"/>
            <w:hideMark/>
          </w:tcPr>
          <w:p w14:paraId="28DA48FB" w14:textId="77777777" w:rsidR="00401CC7" w:rsidRPr="00CE1D35" w:rsidRDefault="00401CC7" w:rsidP="002D2EEB">
            <w:pPr>
              <w:spacing w:after="0" w:line="240" w:lineRule="auto"/>
              <w:rPr>
                <w:rFonts w:eastAsia="Times New Roman" w:cs="Times New Roman"/>
                <w:szCs w:val="24"/>
                <w:lang w:eastAsia="en-GB"/>
              </w:rPr>
            </w:pPr>
            <w:r w:rsidRPr="00CE1D35">
              <w:rPr>
                <w:rFonts w:eastAsia="Times New Roman" w:cs="Times New Roman"/>
                <w:color w:val="333333"/>
                <w:szCs w:val="24"/>
                <w:lang w:eastAsia="en-GB"/>
              </w:rPr>
              <w:t>10-20 ha</w:t>
            </w:r>
          </w:p>
        </w:tc>
        <w:tc>
          <w:tcPr>
            <w:tcW w:w="850" w:type="dxa"/>
            <w:shd w:val="clear" w:color="000000" w:fill="F8FAFB"/>
            <w:noWrap/>
            <w:hideMark/>
          </w:tcPr>
          <w:p w14:paraId="592E8FF6"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211</w:t>
            </w:r>
          </w:p>
        </w:tc>
        <w:tc>
          <w:tcPr>
            <w:tcW w:w="1134" w:type="dxa"/>
            <w:shd w:val="clear" w:color="000000" w:fill="F8FAFB"/>
            <w:noWrap/>
            <w:hideMark/>
          </w:tcPr>
          <w:p w14:paraId="6A55B4D8"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15.1%</w:t>
            </w:r>
          </w:p>
        </w:tc>
        <w:tc>
          <w:tcPr>
            <w:tcW w:w="1418" w:type="dxa"/>
            <w:shd w:val="clear" w:color="000000" w:fill="F8FAFB"/>
            <w:noWrap/>
            <w:hideMark/>
          </w:tcPr>
          <w:p w14:paraId="7507B28F"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3,064</w:t>
            </w:r>
          </w:p>
        </w:tc>
        <w:tc>
          <w:tcPr>
            <w:tcW w:w="1134" w:type="dxa"/>
            <w:shd w:val="clear" w:color="000000" w:fill="F8FAFB"/>
            <w:noWrap/>
            <w:hideMark/>
          </w:tcPr>
          <w:p w14:paraId="435A0DF6"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5.6%</w:t>
            </w:r>
          </w:p>
        </w:tc>
        <w:tc>
          <w:tcPr>
            <w:tcW w:w="1739" w:type="dxa"/>
            <w:shd w:val="clear" w:color="000000" w:fill="F8FAFB"/>
            <w:noWrap/>
            <w:hideMark/>
          </w:tcPr>
          <w:p w14:paraId="70D67380"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17,876,006</w:t>
            </w:r>
          </w:p>
        </w:tc>
        <w:tc>
          <w:tcPr>
            <w:tcW w:w="840" w:type="dxa"/>
            <w:shd w:val="clear" w:color="auto" w:fill="auto"/>
            <w:noWrap/>
            <w:hideMark/>
          </w:tcPr>
          <w:p w14:paraId="6E19ED3C" w14:textId="77777777" w:rsidR="00401CC7" w:rsidRPr="00CE1D35" w:rsidRDefault="00401CC7" w:rsidP="002D2EEB">
            <w:pPr>
              <w:spacing w:after="0" w:line="240" w:lineRule="auto"/>
              <w:rPr>
                <w:rFonts w:eastAsia="Times New Roman" w:cs="Times New Roman"/>
                <w:color w:val="000000"/>
                <w:szCs w:val="24"/>
                <w:lang w:eastAsia="en-GB"/>
              </w:rPr>
            </w:pPr>
            <w:r w:rsidRPr="00CE1D35">
              <w:rPr>
                <w:rFonts w:eastAsia="Times New Roman" w:cs="Times New Roman"/>
                <w:color w:val="000000"/>
                <w:szCs w:val="24"/>
                <w:lang w:eastAsia="en-GB"/>
              </w:rPr>
              <w:t>7.7%</w:t>
            </w:r>
          </w:p>
        </w:tc>
      </w:tr>
      <w:tr w:rsidR="00401CC7" w:rsidRPr="00CE1D35" w14:paraId="6A8F74B8" w14:textId="77777777" w:rsidTr="002D2EEB">
        <w:trPr>
          <w:trHeight w:val="85"/>
        </w:trPr>
        <w:tc>
          <w:tcPr>
            <w:tcW w:w="1985" w:type="dxa"/>
            <w:shd w:val="clear" w:color="auto" w:fill="auto"/>
            <w:hideMark/>
          </w:tcPr>
          <w:p w14:paraId="1AD95D60" w14:textId="77777777" w:rsidR="00401CC7" w:rsidRPr="00CE1D35" w:rsidRDefault="00401CC7" w:rsidP="002D2EEB">
            <w:pPr>
              <w:spacing w:after="0" w:line="240" w:lineRule="auto"/>
              <w:rPr>
                <w:rFonts w:eastAsia="Times New Roman" w:cs="Times New Roman"/>
                <w:szCs w:val="24"/>
                <w:lang w:eastAsia="en-GB"/>
              </w:rPr>
            </w:pPr>
            <w:r w:rsidRPr="00CE1D35">
              <w:rPr>
                <w:rFonts w:eastAsia="Times New Roman" w:cs="Times New Roman"/>
                <w:color w:val="333333"/>
                <w:szCs w:val="24"/>
                <w:lang w:eastAsia="en-GB"/>
              </w:rPr>
              <w:t>20-50 ha</w:t>
            </w:r>
          </w:p>
        </w:tc>
        <w:tc>
          <w:tcPr>
            <w:tcW w:w="850" w:type="dxa"/>
            <w:shd w:val="clear" w:color="auto" w:fill="auto"/>
            <w:noWrap/>
            <w:hideMark/>
          </w:tcPr>
          <w:p w14:paraId="1FDFF4EF"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304</w:t>
            </w:r>
          </w:p>
        </w:tc>
        <w:tc>
          <w:tcPr>
            <w:tcW w:w="1134" w:type="dxa"/>
            <w:shd w:val="clear" w:color="000000" w:fill="F8FAFB"/>
            <w:noWrap/>
            <w:hideMark/>
          </w:tcPr>
          <w:p w14:paraId="6DC42C1E"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21.7%</w:t>
            </w:r>
          </w:p>
        </w:tc>
        <w:tc>
          <w:tcPr>
            <w:tcW w:w="1418" w:type="dxa"/>
            <w:shd w:val="clear" w:color="auto" w:fill="auto"/>
            <w:noWrap/>
            <w:hideMark/>
          </w:tcPr>
          <w:p w14:paraId="19DD7D0D"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10,453</w:t>
            </w:r>
          </w:p>
        </w:tc>
        <w:tc>
          <w:tcPr>
            <w:tcW w:w="1134" w:type="dxa"/>
            <w:shd w:val="clear" w:color="000000" w:fill="F8FAFB"/>
            <w:noWrap/>
            <w:hideMark/>
          </w:tcPr>
          <w:p w14:paraId="611322D4"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19.1%</w:t>
            </w:r>
          </w:p>
        </w:tc>
        <w:tc>
          <w:tcPr>
            <w:tcW w:w="1739" w:type="dxa"/>
            <w:shd w:val="clear" w:color="auto" w:fill="auto"/>
            <w:noWrap/>
            <w:hideMark/>
          </w:tcPr>
          <w:p w14:paraId="362C0751"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53,538,582</w:t>
            </w:r>
          </w:p>
        </w:tc>
        <w:tc>
          <w:tcPr>
            <w:tcW w:w="840" w:type="dxa"/>
            <w:shd w:val="clear" w:color="auto" w:fill="auto"/>
            <w:noWrap/>
            <w:hideMark/>
          </w:tcPr>
          <w:p w14:paraId="52218245" w14:textId="77777777" w:rsidR="00401CC7" w:rsidRPr="00CE1D35" w:rsidRDefault="00401CC7" w:rsidP="002D2EEB">
            <w:pPr>
              <w:spacing w:after="0" w:line="240" w:lineRule="auto"/>
              <w:rPr>
                <w:rFonts w:eastAsia="Times New Roman" w:cs="Times New Roman"/>
                <w:color w:val="000000"/>
                <w:szCs w:val="24"/>
                <w:lang w:eastAsia="en-GB"/>
              </w:rPr>
            </w:pPr>
            <w:r w:rsidRPr="00CE1D35">
              <w:rPr>
                <w:rFonts w:eastAsia="Times New Roman" w:cs="Times New Roman"/>
                <w:color w:val="000000"/>
                <w:szCs w:val="24"/>
                <w:lang w:eastAsia="en-GB"/>
              </w:rPr>
              <w:t>23.1%</w:t>
            </w:r>
          </w:p>
        </w:tc>
      </w:tr>
      <w:tr w:rsidR="00401CC7" w:rsidRPr="00CE1D35" w14:paraId="2EA257D9" w14:textId="77777777" w:rsidTr="002D2EEB">
        <w:trPr>
          <w:trHeight w:val="85"/>
        </w:trPr>
        <w:tc>
          <w:tcPr>
            <w:tcW w:w="1985" w:type="dxa"/>
            <w:shd w:val="clear" w:color="000000" w:fill="F8FAFB"/>
            <w:hideMark/>
          </w:tcPr>
          <w:p w14:paraId="1C7DA704" w14:textId="77777777" w:rsidR="00401CC7" w:rsidRPr="00CE1D35" w:rsidRDefault="00401CC7" w:rsidP="002D2EEB">
            <w:pPr>
              <w:spacing w:after="0" w:line="240" w:lineRule="auto"/>
              <w:rPr>
                <w:rFonts w:eastAsia="Times New Roman" w:cs="Times New Roman"/>
                <w:szCs w:val="24"/>
                <w:lang w:eastAsia="en-GB"/>
              </w:rPr>
            </w:pPr>
            <w:r w:rsidRPr="00CE1D35">
              <w:rPr>
                <w:rFonts w:eastAsia="Times New Roman" w:cs="Times New Roman"/>
                <w:color w:val="333333"/>
                <w:szCs w:val="24"/>
                <w:lang w:eastAsia="en-GB"/>
              </w:rPr>
              <w:t>50-100 ha</w:t>
            </w:r>
          </w:p>
        </w:tc>
        <w:tc>
          <w:tcPr>
            <w:tcW w:w="850" w:type="dxa"/>
            <w:shd w:val="clear" w:color="000000" w:fill="F8FAFB"/>
            <w:noWrap/>
            <w:hideMark/>
          </w:tcPr>
          <w:p w14:paraId="1B7CF4B6"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140</w:t>
            </w:r>
          </w:p>
        </w:tc>
        <w:tc>
          <w:tcPr>
            <w:tcW w:w="1134" w:type="dxa"/>
            <w:shd w:val="clear" w:color="000000" w:fill="F8FAFB"/>
            <w:noWrap/>
            <w:hideMark/>
          </w:tcPr>
          <w:p w14:paraId="23C49CB2"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10.0%</w:t>
            </w:r>
          </w:p>
        </w:tc>
        <w:tc>
          <w:tcPr>
            <w:tcW w:w="1418" w:type="dxa"/>
            <w:shd w:val="clear" w:color="000000" w:fill="F8FAFB"/>
            <w:noWrap/>
            <w:hideMark/>
          </w:tcPr>
          <w:p w14:paraId="48BC2371"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9,975</w:t>
            </w:r>
          </w:p>
        </w:tc>
        <w:tc>
          <w:tcPr>
            <w:tcW w:w="1134" w:type="dxa"/>
            <w:shd w:val="clear" w:color="000000" w:fill="F8FAFB"/>
            <w:noWrap/>
            <w:hideMark/>
          </w:tcPr>
          <w:p w14:paraId="74A88A87"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18.2%</w:t>
            </w:r>
          </w:p>
        </w:tc>
        <w:tc>
          <w:tcPr>
            <w:tcW w:w="1739" w:type="dxa"/>
            <w:shd w:val="clear" w:color="000000" w:fill="F8FAFB"/>
            <w:noWrap/>
            <w:hideMark/>
          </w:tcPr>
          <w:p w14:paraId="00D74D24"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43,420,990</w:t>
            </w:r>
          </w:p>
        </w:tc>
        <w:tc>
          <w:tcPr>
            <w:tcW w:w="840" w:type="dxa"/>
            <w:shd w:val="clear" w:color="auto" w:fill="auto"/>
            <w:noWrap/>
            <w:hideMark/>
          </w:tcPr>
          <w:p w14:paraId="5EB7075D" w14:textId="77777777" w:rsidR="00401CC7" w:rsidRPr="00CE1D35" w:rsidRDefault="00401CC7" w:rsidP="002D2EEB">
            <w:pPr>
              <w:spacing w:after="0" w:line="240" w:lineRule="auto"/>
              <w:rPr>
                <w:rFonts w:eastAsia="Times New Roman" w:cs="Times New Roman"/>
                <w:color w:val="000000"/>
                <w:szCs w:val="24"/>
                <w:lang w:eastAsia="en-GB"/>
              </w:rPr>
            </w:pPr>
            <w:r w:rsidRPr="00CE1D35">
              <w:rPr>
                <w:rFonts w:eastAsia="Times New Roman" w:cs="Times New Roman"/>
                <w:color w:val="000000"/>
                <w:szCs w:val="24"/>
                <w:lang w:eastAsia="en-GB"/>
              </w:rPr>
              <w:t>18.7%</w:t>
            </w:r>
          </w:p>
        </w:tc>
      </w:tr>
      <w:tr w:rsidR="00401CC7" w:rsidRPr="00CE1D35" w14:paraId="55AEC35F" w14:textId="77777777" w:rsidTr="002D2EEB">
        <w:trPr>
          <w:trHeight w:val="85"/>
        </w:trPr>
        <w:tc>
          <w:tcPr>
            <w:tcW w:w="1985" w:type="dxa"/>
            <w:shd w:val="clear" w:color="auto" w:fill="auto"/>
            <w:hideMark/>
          </w:tcPr>
          <w:p w14:paraId="2510F5B4" w14:textId="77777777" w:rsidR="00401CC7" w:rsidRPr="00CE1D35" w:rsidRDefault="00401CC7" w:rsidP="002D2EEB">
            <w:pPr>
              <w:spacing w:after="0" w:line="240" w:lineRule="auto"/>
              <w:rPr>
                <w:rFonts w:eastAsia="Times New Roman" w:cs="Times New Roman"/>
                <w:szCs w:val="24"/>
                <w:lang w:eastAsia="en-GB"/>
              </w:rPr>
            </w:pPr>
            <w:r w:rsidRPr="00CE1D35">
              <w:rPr>
                <w:rFonts w:eastAsia="Times New Roman" w:cs="Times New Roman"/>
                <w:color w:val="333333"/>
                <w:szCs w:val="24"/>
                <w:lang w:eastAsia="en-GB"/>
              </w:rPr>
              <w:t>&gt;100 ha</w:t>
            </w:r>
          </w:p>
        </w:tc>
        <w:tc>
          <w:tcPr>
            <w:tcW w:w="850" w:type="dxa"/>
            <w:shd w:val="clear" w:color="auto" w:fill="auto"/>
            <w:noWrap/>
            <w:hideMark/>
          </w:tcPr>
          <w:p w14:paraId="16AEB403"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130</w:t>
            </w:r>
          </w:p>
        </w:tc>
        <w:tc>
          <w:tcPr>
            <w:tcW w:w="1134" w:type="dxa"/>
            <w:shd w:val="clear" w:color="000000" w:fill="F8FAFB"/>
            <w:noWrap/>
            <w:hideMark/>
          </w:tcPr>
          <w:p w14:paraId="473CA4B7"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9.3%</w:t>
            </w:r>
          </w:p>
        </w:tc>
        <w:tc>
          <w:tcPr>
            <w:tcW w:w="1418" w:type="dxa"/>
            <w:shd w:val="clear" w:color="auto" w:fill="auto"/>
            <w:noWrap/>
            <w:hideMark/>
          </w:tcPr>
          <w:p w14:paraId="7C87E136"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28,801</w:t>
            </w:r>
          </w:p>
        </w:tc>
        <w:tc>
          <w:tcPr>
            <w:tcW w:w="1134" w:type="dxa"/>
            <w:shd w:val="clear" w:color="000000" w:fill="F8FAFB"/>
            <w:noWrap/>
            <w:hideMark/>
          </w:tcPr>
          <w:p w14:paraId="03D7C191"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52.5%</w:t>
            </w:r>
          </w:p>
        </w:tc>
        <w:tc>
          <w:tcPr>
            <w:tcW w:w="1739" w:type="dxa"/>
            <w:shd w:val="clear" w:color="auto" w:fill="auto"/>
            <w:noWrap/>
            <w:hideMark/>
          </w:tcPr>
          <w:p w14:paraId="07298F5A" w14:textId="77777777" w:rsidR="00401CC7" w:rsidRPr="00CE1D35" w:rsidRDefault="00401CC7" w:rsidP="002D2EEB">
            <w:pPr>
              <w:spacing w:after="0" w:line="240" w:lineRule="auto"/>
              <w:jc w:val="right"/>
              <w:rPr>
                <w:rFonts w:eastAsia="Times New Roman" w:cs="Times New Roman"/>
                <w:color w:val="333333"/>
                <w:szCs w:val="24"/>
                <w:lang w:eastAsia="en-GB"/>
              </w:rPr>
            </w:pPr>
            <w:r w:rsidRPr="00CE1D35">
              <w:rPr>
                <w:rFonts w:eastAsia="Times New Roman" w:cs="Times New Roman"/>
                <w:color w:val="333333"/>
                <w:szCs w:val="24"/>
                <w:lang w:eastAsia="en-GB"/>
              </w:rPr>
              <w:t>100,978,560</w:t>
            </w:r>
          </w:p>
        </w:tc>
        <w:tc>
          <w:tcPr>
            <w:tcW w:w="840" w:type="dxa"/>
            <w:shd w:val="clear" w:color="auto" w:fill="auto"/>
            <w:noWrap/>
            <w:hideMark/>
          </w:tcPr>
          <w:p w14:paraId="606D2199" w14:textId="77777777" w:rsidR="00401CC7" w:rsidRPr="00CE1D35" w:rsidRDefault="00401CC7" w:rsidP="002D2EEB">
            <w:pPr>
              <w:spacing w:after="0" w:line="240" w:lineRule="auto"/>
              <w:rPr>
                <w:rFonts w:eastAsia="Times New Roman" w:cs="Times New Roman"/>
                <w:color w:val="000000"/>
                <w:szCs w:val="24"/>
                <w:lang w:eastAsia="en-GB"/>
              </w:rPr>
            </w:pPr>
            <w:r w:rsidRPr="00CE1D35">
              <w:rPr>
                <w:rFonts w:eastAsia="Times New Roman" w:cs="Times New Roman"/>
                <w:color w:val="000000"/>
                <w:szCs w:val="24"/>
                <w:lang w:eastAsia="en-GB"/>
              </w:rPr>
              <w:t>43.5%</w:t>
            </w:r>
          </w:p>
        </w:tc>
      </w:tr>
      <w:tr w:rsidR="00401CC7" w:rsidRPr="00CE1D35" w14:paraId="4F26E990" w14:textId="77777777" w:rsidTr="002D2EEB">
        <w:trPr>
          <w:trHeight w:val="85"/>
        </w:trPr>
        <w:tc>
          <w:tcPr>
            <w:tcW w:w="1985" w:type="dxa"/>
            <w:shd w:val="clear" w:color="auto" w:fill="auto"/>
            <w:hideMark/>
          </w:tcPr>
          <w:p w14:paraId="2C89F6B8" w14:textId="77777777" w:rsidR="00401CC7" w:rsidRPr="00CE1D35" w:rsidRDefault="00401CC7" w:rsidP="002D2EEB">
            <w:pPr>
              <w:spacing w:after="0" w:line="240" w:lineRule="auto"/>
              <w:rPr>
                <w:rFonts w:eastAsia="Times New Roman" w:cs="Times New Roman"/>
                <w:b/>
                <w:bCs/>
                <w:szCs w:val="24"/>
                <w:lang w:eastAsia="en-GB"/>
              </w:rPr>
            </w:pPr>
            <w:r w:rsidRPr="00CE1D35">
              <w:rPr>
                <w:rFonts w:eastAsia="Times New Roman" w:cs="Times New Roman"/>
                <w:b/>
                <w:bCs/>
                <w:color w:val="333333"/>
                <w:szCs w:val="24"/>
                <w:lang w:eastAsia="en-GB"/>
              </w:rPr>
              <w:t>Total</w:t>
            </w:r>
          </w:p>
        </w:tc>
        <w:tc>
          <w:tcPr>
            <w:tcW w:w="850" w:type="dxa"/>
            <w:shd w:val="clear" w:color="auto" w:fill="auto"/>
            <w:noWrap/>
            <w:hideMark/>
          </w:tcPr>
          <w:p w14:paraId="43CAB734" w14:textId="77777777" w:rsidR="00401CC7" w:rsidRPr="00CE1D35" w:rsidRDefault="00401CC7" w:rsidP="002D2EEB">
            <w:pPr>
              <w:spacing w:after="0" w:line="240" w:lineRule="auto"/>
              <w:jc w:val="right"/>
              <w:rPr>
                <w:rFonts w:eastAsia="Times New Roman" w:cs="Times New Roman"/>
                <w:b/>
                <w:bCs/>
                <w:color w:val="333333"/>
                <w:szCs w:val="24"/>
                <w:lang w:eastAsia="en-GB"/>
              </w:rPr>
            </w:pPr>
            <w:r w:rsidRPr="00CE1D35">
              <w:rPr>
                <w:rFonts w:eastAsia="Times New Roman" w:cs="Times New Roman"/>
                <w:b/>
                <w:bCs/>
                <w:color w:val="333333"/>
                <w:szCs w:val="24"/>
                <w:lang w:eastAsia="en-GB"/>
              </w:rPr>
              <w:t>1401</w:t>
            </w:r>
          </w:p>
        </w:tc>
        <w:tc>
          <w:tcPr>
            <w:tcW w:w="1134" w:type="dxa"/>
            <w:shd w:val="clear" w:color="auto" w:fill="auto"/>
            <w:noWrap/>
            <w:hideMark/>
          </w:tcPr>
          <w:p w14:paraId="52E30EDF" w14:textId="77777777" w:rsidR="00401CC7" w:rsidRPr="00CE1D35" w:rsidRDefault="00401CC7" w:rsidP="002D2EEB">
            <w:pPr>
              <w:spacing w:after="0" w:line="240" w:lineRule="auto"/>
              <w:jc w:val="right"/>
              <w:rPr>
                <w:rFonts w:eastAsia="Times New Roman" w:cs="Times New Roman"/>
                <w:b/>
                <w:bCs/>
                <w:color w:val="333333"/>
                <w:szCs w:val="24"/>
                <w:lang w:eastAsia="en-GB"/>
              </w:rPr>
            </w:pPr>
            <w:r w:rsidRPr="00CE1D35">
              <w:rPr>
                <w:rFonts w:eastAsia="Times New Roman" w:cs="Times New Roman"/>
                <w:b/>
                <w:bCs/>
                <w:color w:val="333333"/>
                <w:szCs w:val="24"/>
                <w:lang w:eastAsia="en-GB"/>
              </w:rPr>
              <w:t> </w:t>
            </w:r>
          </w:p>
        </w:tc>
        <w:tc>
          <w:tcPr>
            <w:tcW w:w="1418" w:type="dxa"/>
            <w:shd w:val="clear" w:color="auto" w:fill="auto"/>
            <w:noWrap/>
            <w:hideMark/>
          </w:tcPr>
          <w:p w14:paraId="6BBE57B4" w14:textId="77777777" w:rsidR="00401CC7" w:rsidRPr="00CE1D35" w:rsidRDefault="00401CC7" w:rsidP="002D2EEB">
            <w:pPr>
              <w:spacing w:after="0" w:line="240" w:lineRule="auto"/>
              <w:jc w:val="right"/>
              <w:rPr>
                <w:rFonts w:eastAsia="Times New Roman" w:cs="Times New Roman"/>
                <w:b/>
                <w:bCs/>
                <w:color w:val="333333"/>
                <w:szCs w:val="24"/>
                <w:lang w:eastAsia="en-GB"/>
              </w:rPr>
            </w:pPr>
            <w:r w:rsidRPr="00CE1D35">
              <w:rPr>
                <w:rFonts w:eastAsia="Times New Roman" w:cs="Times New Roman"/>
                <w:b/>
                <w:bCs/>
                <w:color w:val="333333"/>
                <w:szCs w:val="24"/>
                <w:lang w:eastAsia="en-GB"/>
              </w:rPr>
              <w:t>54,849</w:t>
            </w:r>
          </w:p>
        </w:tc>
        <w:tc>
          <w:tcPr>
            <w:tcW w:w="1134" w:type="dxa"/>
            <w:shd w:val="clear" w:color="auto" w:fill="auto"/>
            <w:noWrap/>
            <w:hideMark/>
          </w:tcPr>
          <w:p w14:paraId="0037744E" w14:textId="77777777" w:rsidR="00401CC7" w:rsidRPr="00CE1D35" w:rsidRDefault="00401CC7" w:rsidP="002D2EEB">
            <w:pPr>
              <w:spacing w:after="0" w:line="240" w:lineRule="auto"/>
              <w:jc w:val="right"/>
              <w:rPr>
                <w:rFonts w:eastAsia="Times New Roman" w:cs="Times New Roman"/>
                <w:b/>
                <w:bCs/>
                <w:color w:val="333333"/>
                <w:szCs w:val="24"/>
                <w:lang w:eastAsia="en-GB"/>
              </w:rPr>
            </w:pPr>
          </w:p>
        </w:tc>
        <w:tc>
          <w:tcPr>
            <w:tcW w:w="1739" w:type="dxa"/>
            <w:shd w:val="clear" w:color="auto" w:fill="auto"/>
            <w:noWrap/>
            <w:hideMark/>
          </w:tcPr>
          <w:p w14:paraId="6A7574A1" w14:textId="77777777" w:rsidR="00401CC7" w:rsidRPr="00CE1D35" w:rsidRDefault="00401CC7" w:rsidP="002D2EEB">
            <w:pPr>
              <w:spacing w:after="0" w:line="240" w:lineRule="auto"/>
              <w:jc w:val="right"/>
              <w:rPr>
                <w:rFonts w:eastAsia="Times New Roman" w:cs="Times New Roman"/>
                <w:b/>
                <w:bCs/>
                <w:color w:val="333333"/>
                <w:szCs w:val="24"/>
                <w:lang w:eastAsia="en-GB"/>
              </w:rPr>
            </w:pPr>
            <w:r w:rsidRPr="00CE1D35">
              <w:rPr>
                <w:rFonts w:eastAsia="Times New Roman" w:cs="Times New Roman"/>
                <w:b/>
                <w:bCs/>
                <w:color w:val="333333"/>
                <w:szCs w:val="24"/>
                <w:lang w:eastAsia="en-GB"/>
              </w:rPr>
              <w:t>232,226,590</w:t>
            </w:r>
          </w:p>
        </w:tc>
        <w:tc>
          <w:tcPr>
            <w:tcW w:w="840" w:type="dxa"/>
            <w:shd w:val="clear" w:color="auto" w:fill="auto"/>
            <w:noWrap/>
            <w:hideMark/>
          </w:tcPr>
          <w:p w14:paraId="37082958" w14:textId="77777777" w:rsidR="00401CC7" w:rsidRPr="00CE1D35" w:rsidRDefault="00401CC7" w:rsidP="002D2EEB">
            <w:pPr>
              <w:spacing w:after="0" w:line="240" w:lineRule="auto"/>
              <w:jc w:val="right"/>
              <w:rPr>
                <w:rFonts w:eastAsia="Times New Roman" w:cs="Times New Roman"/>
                <w:b/>
                <w:bCs/>
                <w:color w:val="333333"/>
                <w:szCs w:val="24"/>
                <w:lang w:eastAsia="en-GB"/>
              </w:rPr>
            </w:pPr>
          </w:p>
        </w:tc>
      </w:tr>
    </w:tbl>
    <w:p w14:paraId="22DB15ED" w14:textId="77777777" w:rsidR="00401CC7" w:rsidRPr="00CE1D35" w:rsidRDefault="00401CC7" w:rsidP="00401CC7"/>
    <w:p w14:paraId="49E4EC0E" w14:textId="77777777" w:rsidR="00401CC7" w:rsidRPr="00CE1D35" w:rsidRDefault="00401CC7" w:rsidP="00401CC7">
      <w:r w:rsidRPr="00CE1D35">
        <w:t>FGS options by Conservancy to July 2021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140"/>
        <w:gridCol w:w="1260"/>
        <w:gridCol w:w="1140"/>
        <w:gridCol w:w="1140"/>
        <w:gridCol w:w="1320"/>
        <w:gridCol w:w="1418"/>
      </w:tblGrid>
      <w:tr w:rsidR="00401CC7" w:rsidRPr="00CE1D35" w14:paraId="1C8DA74B" w14:textId="77777777" w:rsidTr="002D2EEB">
        <w:trPr>
          <w:trHeight w:val="375"/>
        </w:trPr>
        <w:tc>
          <w:tcPr>
            <w:tcW w:w="2500" w:type="dxa"/>
            <w:shd w:val="clear" w:color="auto" w:fill="D9D9D9" w:themeFill="background1" w:themeFillShade="D9"/>
            <w:vAlign w:val="center"/>
            <w:hideMark/>
          </w:tcPr>
          <w:p w14:paraId="6E40AF72" w14:textId="77777777" w:rsidR="00401CC7" w:rsidRPr="00CE1D35" w:rsidRDefault="00401CC7" w:rsidP="002D2EEB">
            <w:pPr>
              <w:spacing w:after="0" w:line="240" w:lineRule="auto"/>
              <w:rPr>
                <w:rFonts w:eastAsia="Times New Roman"/>
                <w:b/>
                <w:bCs/>
                <w:color w:val="auto"/>
                <w:lang w:eastAsia="en-GB"/>
              </w:rPr>
            </w:pPr>
            <w:r w:rsidRPr="00CE1D35">
              <w:rPr>
                <w:rFonts w:eastAsia="Times New Roman"/>
                <w:b/>
                <w:bCs/>
                <w:color w:val="auto"/>
                <w:lang w:eastAsia="en-GB"/>
              </w:rPr>
              <w:t>Woodland Type</w:t>
            </w:r>
          </w:p>
        </w:tc>
        <w:tc>
          <w:tcPr>
            <w:tcW w:w="1140" w:type="dxa"/>
            <w:shd w:val="clear" w:color="auto" w:fill="D9D9D9" w:themeFill="background1" w:themeFillShade="D9"/>
            <w:vAlign w:val="center"/>
            <w:hideMark/>
          </w:tcPr>
          <w:p w14:paraId="4297AADD" w14:textId="77777777" w:rsidR="00401CC7" w:rsidRPr="00CE1D35" w:rsidRDefault="00401CC7" w:rsidP="002D2EEB">
            <w:pPr>
              <w:spacing w:after="0" w:line="240" w:lineRule="auto"/>
              <w:jc w:val="right"/>
              <w:rPr>
                <w:rFonts w:eastAsia="Times New Roman"/>
                <w:b/>
                <w:bCs/>
                <w:color w:val="auto"/>
                <w:lang w:eastAsia="en-GB"/>
              </w:rPr>
            </w:pPr>
            <w:r w:rsidRPr="00CE1D35">
              <w:rPr>
                <w:rFonts w:eastAsia="Times New Roman"/>
                <w:b/>
                <w:bCs/>
                <w:color w:val="auto"/>
                <w:lang w:eastAsia="en-GB"/>
              </w:rPr>
              <w:t>H&amp;I</w:t>
            </w:r>
          </w:p>
        </w:tc>
        <w:tc>
          <w:tcPr>
            <w:tcW w:w="1260" w:type="dxa"/>
            <w:shd w:val="clear" w:color="auto" w:fill="D9D9D9" w:themeFill="background1" w:themeFillShade="D9"/>
            <w:vAlign w:val="center"/>
            <w:hideMark/>
          </w:tcPr>
          <w:p w14:paraId="4F82C344" w14:textId="77777777" w:rsidR="00401CC7" w:rsidRPr="00CE1D35" w:rsidRDefault="00401CC7" w:rsidP="002D2EEB">
            <w:pPr>
              <w:spacing w:after="0" w:line="240" w:lineRule="auto"/>
              <w:jc w:val="right"/>
              <w:rPr>
                <w:rFonts w:eastAsia="Times New Roman"/>
                <w:b/>
                <w:bCs/>
                <w:color w:val="auto"/>
                <w:lang w:eastAsia="en-GB"/>
              </w:rPr>
            </w:pPr>
            <w:r w:rsidRPr="00CE1D35">
              <w:rPr>
                <w:rFonts w:eastAsia="Times New Roman"/>
                <w:b/>
                <w:bCs/>
                <w:color w:val="auto"/>
                <w:lang w:eastAsia="en-GB"/>
              </w:rPr>
              <w:t>Grampian</w:t>
            </w:r>
          </w:p>
        </w:tc>
        <w:tc>
          <w:tcPr>
            <w:tcW w:w="1140" w:type="dxa"/>
            <w:shd w:val="clear" w:color="auto" w:fill="D9D9D9" w:themeFill="background1" w:themeFillShade="D9"/>
            <w:vAlign w:val="center"/>
            <w:hideMark/>
          </w:tcPr>
          <w:p w14:paraId="6689DF84" w14:textId="77777777" w:rsidR="00401CC7" w:rsidRPr="00CE1D35" w:rsidRDefault="00401CC7" w:rsidP="002D2EEB">
            <w:pPr>
              <w:spacing w:after="0" w:line="240" w:lineRule="auto"/>
              <w:jc w:val="right"/>
              <w:rPr>
                <w:rFonts w:eastAsia="Times New Roman"/>
                <w:b/>
                <w:bCs/>
                <w:color w:val="auto"/>
                <w:lang w:eastAsia="en-GB"/>
              </w:rPr>
            </w:pPr>
            <w:r w:rsidRPr="00CE1D35">
              <w:rPr>
                <w:rFonts w:eastAsia="Times New Roman"/>
                <w:b/>
                <w:bCs/>
                <w:color w:val="auto"/>
                <w:lang w:eastAsia="en-GB"/>
              </w:rPr>
              <w:t>P&amp;A</w:t>
            </w:r>
          </w:p>
        </w:tc>
        <w:tc>
          <w:tcPr>
            <w:tcW w:w="1140" w:type="dxa"/>
            <w:shd w:val="clear" w:color="auto" w:fill="D9D9D9" w:themeFill="background1" w:themeFillShade="D9"/>
            <w:vAlign w:val="center"/>
            <w:hideMark/>
          </w:tcPr>
          <w:p w14:paraId="5250C6A9" w14:textId="77777777" w:rsidR="00401CC7" w:rsidRPr="00CE1D35" w:rsidRDefault="00401CC7" w:rsidP="002D2EEB">
            <w:pPr>
              <w:spacing w:after="0" w:line="240" w:lineRule="auto"/>
              <w:jc w:val="right"/>
              <w:rPr>
                <w:rFonts w:eastAsia="Times New Roman"/>
                <w:b/>
                <w:bCs/>
                <w:color w:val="auto"/>
                <w:lang w:eastAsia="en-GB"/>
              </w:rPr>
            </w:pPr>
            <w:r w:rsidRPr="00CE1D35">
              <w:rPr>
                <w:rFonts w:eastAsia="Times New Roman"/>
                <w:b/>
                <w:bCs/>
                <w:color w:val="auto"/>
                <w:lang w:eastAsia="en-GB"/>
              </w:rPr>
              <w:t>CS</w:t>
            </w:r>
          </w:p>
        </w:tc>
        <w:tc>
          <w:tcPr>
            <w:tcW w:w="1320" w:type="dxa"/>
            <w:shd w:val="clear" w:color="auto" w:fill="D9D9D9" w:themeFill="background1" w:themeFillShade="D9"/>
            <w:vAlign w:val="center"/>
            <w:hideMark/>
          </w:tcPr>
          <w:p w14:paraId="7FE216F6" w14:textId="77777777" w:rsidR="00401CC7" w:rsidRPr="00CE1D35" w:rsidRDefault="00401CC7" w:rsidP="002D2EEB">
            <w:pPr>
              <w:spacing w:after="0" w:line="240" w:lineRule="auto"/>
              <w:jc w:val="right"/>
              <w:rPr>
                <w:rFonts w:eastAsia="Times New Roman"/>
                <w:b/>
                <w:bCs/>
                <w:color w:val="auto"/>
                <w:lang w:eastAsia="en-GB"/>
              </w:rPr>
            </w:pPr>
            <w:r w:rsidRPr="00CE1D35">
              <w:rPr>
                <w:rFonts w:eastAsia="Times New Roman"/>
                <w:b/>
                <w:bCs/>
                <w:color w:val="auto"/>
                <w:lang w:eastAsia="en-GB"/>
              </w:rPr>
              <w:t>SS</w:t>
            </w:r>
          </w:p>
        </w:tc>
        <w:tc>
          <w:tcPr>
            <w:tcW w:w="1418" w:type="dxa"/>
            <w:shd w:val="clear" w:color="auto" w:fill="D9D9D9" w:themeFill="background1" w:themeFillShade="D9"/>
            <w:vAlign w:val="center"/>
            <w:hideMark/>
          </w:tcPr>
          <w:p w14:paraId="1F97C5D8" w14:textId="77777777" w:rsidR="00401CC7" w:rsidRPr="00CE1D35" w:rsidRDefault="00401CC7" w:rsidP="002D2EEB">
            <w:pPr>
              <w:spacing w:after="0" w:line="240" w:lineRule="auto"/>
              <w:jc w:val="right"/>
              <w:rPr>
                <w:rFonts w:eastAsia="Times New Roman"/>
                <w:b/>
                <w:bCs/>
                <w:color w:val="auto"/>
                <w:lang w:eastAsia="en-GB"/>
              </w:rPr>
            </w:pPr>
            <w:r w:rsidRPr="00CE1D35">
              <w:rPr>
                <w:rFonts w:eastAsia="Times New Roman"/>
                <w:b/>
                <w:bCs/>
                <w:lang w:eastAsia="en-GB"/>
              </w:rPr>
              <w:t>Area</w:t>
            </w:r>
          </w:p>
        </w:tc>
      </w:tr>
      <w:tr w:rsidR="00401CC7" w:rsidRPr="00CE1D35" w14:paraId="0A75641B" w14:textId="77777777" w:rsidTr="002D2EEB">
        <w:trPr>
          <w:trHeight w:val="285"/>
        </w:trPr>
        <w:tc>
          <w:tcPr>
            <w:tcW w:w="2500" w:type="dxa"/>
            <w:shd w:val="clear" w:color="000000" w:fill="F8FAFB"/>
            <w:hideMark/>
          </w:tcPr>
          <w:p w14:paraId="0157A817" w14:textId="77777777" w:rsidR="00401CC7" w:rsidRPr="00CE1D35" w:rsidRDefault="00401CC7" w:rsidP="002D2EEB">
            <w:pPr>
              <w:spacing w:after="0" w:line="240" w:lineRule="auto"/>
              <w:rPr>
                <w:rFonts w:eastAsia="Times New Roman"/>
                <w:lang w:eastAsia="en-GB"/>
              </w:rPr>
            </w:pPr>
            <w:r w:rsidRPr="00CE1D35">
              <w:rPr>
                <w:rFonts w:eastAsia="Times New Roman"/>
                <w:color w:val="333333"/>
                <w:lang w:eastAsia="en-GB"/>
              </w:rPr>
              <w:t>Conifer</w:t>
            </w:r>
          </w:p>
        </w:tc>
        <w:tc>
          <w:tcPr>
            <w:tcW w:w="1140" w:type="dxa"/>
            <w:shd w:val="clear" w:color="000000" w:fill="F8FAFB"/>
            <w:noWrap/>
            <w:hideMark/>
          </w:tcPr>
          <w:p w14:paraId="1AD8248B"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1,109</w:t>
            </w:r>
          </w:p>
        </w:tc>
        <w:tc>
          <w:tcPr>
            <w:tcW w:w="1260" w:type="dxa"/>
            <w:shd w:val="clear" w:color="000000" w:fill="F8FAFB"/>
            <w:noWrap/>
            <w:hideMark/>
          </w:tcPr>
          <w:p w14:paraId="70FEA616"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1661</w:t>
            </w:r>
          </w:p>
        </w:tc>
        <w:tc>
          <w:tcPr>
            <w:tcW w:w="1140" w:type="dxa"/>
            <w:shd w:val="clear" w:color="000000" w:fill="F8FAFB"/>
            <w:noWrap/>
            <w:hideMark/>
          </w:tcPr>
          <w:p w14:paraId="74368B2B"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7548</w:t>
            </w:r>
          </w:p>
        </w:tc>
        <w:tc>
          <w:tcPr>
            <w:tcW w:w="1140" w:type="dxa"/>
            <w:shd w:val="clear" w:color="000000" w:fill="F8FAFB"/>
            <w:noWrap/>
            <w:hideMark/>
          </w:tcPr>
          <w:p w14:paraId="6B85EBE0"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3,680</w:t>
            </w:r>
          </w:p>
        </w:tc>
        <w:tc>
          <w:tcPr>
            <w:tcW w:w="1320" w:type="dxa"/>
            <w:shd w:val="clear" w:color="000000" w:fill="F8FAFB"/>
            <w:noWrap/>
            <w:hideMark/>
          </w:tcPr>
          <w:p w14:paraId="0BB6E8F0"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14001</w:t>
            </w:r>
          </w:p>
        </w:tc>
        <w:tc>
          <w:tcPr>
            <w:tcW w:w="1418" w:type="dxa"/>
            <w:shd w:val="clear" w:color="000000" w:fill="F8FAFB"/>
            <w:noWrap/>
            <w:hideMark/>
          </w:tcPr>
          <w:p w14:paraId="0312FCB5"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27,998</w:t>
            </w:r>
          </w:p>
        </w:tc>
      </w:tr>
      <w:tr w:rsidR="00401CC7" w:rsidRPr="00CE1D35" w14:paraId="49A847B3" w14:textId="77777777" w:rsidTr="002D2EEB">
        <w:trPr>
          <w:trHeight w:val="285"/>
        </w:trPr>
        <w:tc>
          <w:tcPr>
            <w:tcW w:w="2500" w:type="dxa"/>
            <w:shd w:val="clear" w:color="auto" w:fill="auto"/>
            <w:hideMark/>
          </w:tcPr>
          <w:p w14:paraId="548E03B3" w14:textId="77777777" w:rsidR="00401CC7" w:rsidRPr="00CE1D35" w:rsidRDefault="00401CC7" w:rsidP="002D2EEB">
            <w:pPr>
              <w:spacing w:after="0" w:line="240" w:lineRule="auto"/>
              <w:rPr>
                <w:rFonts w:eastAsia="Times New Roman"/>
                <w:lang w:eastAsia="en-GB"/>
              </w:rPr>
            </w:pPr>
            <w:r w:rsidRPr="00CE1D35">
              <w:rPr>
                <w:rFonts w:eastAsia="Times New Roman"/>
                <w:color w:val="333333"/>
                <w:lang w:eastAsia="en-GB"/>
              </w:rPr>
              <w:t>Diverse Conifer</w:t>
            </w:r>
          </w:p>
        </w:tc>
        <w:tc>
          <w:tcPr>
            <w:tcW w:w="1140" w:type="dxa"/>
            <w:shd w:val="clear" w:color="auto" w:fill="auto"/>
            <w:noWrap/>
            <w:hideMark/>
          </w:tcPr>
          <w:p w14:paraId="6730DB15"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896</w:t>
            </w:r>
          </w:p>
        </w:tc>
        <w:tc>
          <w:tcPr>
            <w:tcW w:w="1260" w:type="dxa"/>
            <w:shd w:val="clear" w:color="auto" w:fill="auto"/>
            <w:noWrap/>
            <w:hideMark/>
          </w:tcPr>
          <w:p w14:paraId="5851A937"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764</w:t>
            </w:r>
          </w:p>
        </w:tc>
        <w:tc>
          <w:tcPr>
            <w:tcW w:w="1140" w:type="dxa"/>
            <w:shd w:val="clear" w:color="auto" w:fill="auto"/>
            <w:noWrap/>
            <w:hideMark/>
          </w:tcPr>
          <w:p w14:paraId="4FD59518"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861</w:t>
            </w:r>
          </w:p>
        </w:tc>
        <w:tc>
          <w:tcPr>
            <w:tcW w:w="1140" w:type="dxa"/>
            <w:shd w:val="clear" w:color="auto" w:fill="auto"/>
            <w:noWrap/>
            <w:hideMark/>
          </w:tcPr>
          <w:p w14:paraId="4FC5AC0F"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282</w:t>
            </w:r>
          </w:p>
        </w:tc>
        <w:tc>
          <w:tcPr>
            <w:tcW w:w="1320" w:type="dxa"/>
            <w:shd w:val="clear" w:color="auto" w:fill="auto"/>
            <w:noWrap/>
            <w:hideMark/>
          </w:tcPr>
          <w:p w14:paraId="6D669C54"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938</w:t>
            </w:r>
          </w:p>
        </w:tc>
        <w:tc>
          <w:tcPr>
            <w:tcW w:w="1418" w:type="dxa"/>
            <w:shd w:val="clear" w:color="auto" w:fill="auto"/>
            <w:noWrap/>
            <w:hideMark/>
          </w:tcPr>
          <w:p w14:paraId="14883D67"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3,741</w:t>
            </w:r>
          </w:p>
        </w:tc>
      </w:tr>
      <w:tr w:rsidR="00401CC7" w:rsidRPr="00CE1D35" w14:paraId="66C3468B" w14:textId="77777777" w:rsidTr="002D2EEB">
        <w:trPr>
          <w:trHeight w:val="285"/>
        </w:trPr>
        <w:tc>
          <w:tcPr>
            <w:tcW w:w="2500" w:type="dxa"/>
            <w:shd w:val="clear" w:color="000000" w:fill="F8FAFB"/>
            <w:hideMark/>
          </w:tcPr>
          <w:p w14:paraId="57D3691B" w14:textId="77777777" w:rsidR="00401CC7" w:rsidRPr="00CE1D35" w:rsidRDefault="00401CC7" w:rsidP="002D2EEB">
            <w:pPr>
              <w:spacing w:after="0" w:line="240" w:lineRule="auto"/>
              <w:rPr>
                <w:rFonts w:eastAsia="Times New Roman"/>
                <w:lang w:eastAsia="en-GB"/>
              </w:rPr>
            </w:pPr>
            <w:r w:rsidRPr="00CE1D35">
              <w:rPr>
                <w:rFonts w:eastAsia="Times New Roman"/>
                <w:color w:val="333333"/>
                <w:lang w:eastAsia="en-GB"/>
              </w:rPr>
              <w:t>Broadleaves</w:t>
            </w:r>
          </w:p>
        </w:tc>
        <w:tc>
          <w:tcPr>
            <w:tcW w:w="1140" w:type="dxa"/>
            <w:shd w:val="clear" w:color="000000" w:fill="F8FAFB"/>
            <w:noWrap/>
            <w:hideMark/>
          </w:tcPr>
          <w:p w14:paraId="64740ACC"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293</w:t>
            </w:r>
          </w:p>
        </w:tc>
        <w:tc>
          <w:tcPr>
            <w:tcW w:w="1260" w:type="dxa"/>
            <w:shd w:val="clear" w:color="000000" w:fill="F8FAFB"/>
            <w:noWrap/>
            <w:hideMark/>
          </w:tcPr>
          <w:p w14:paraId="52CF13B8"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112</w:t>
            </w:r>
          </w:p>
        </w:tc>
        <w:tc>
          <w:tcPr>
            <w:tcW w:w="1140" w:type="dxa"/>
            <w:shd w:val="clear" w:color="000000" w:fill="F8FAFB"/>
            <w:noWrap/>
            <w:hideMark/>
          </w:tcPr>
          <w:p w14:paraId="6D344AFD"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665</w:t>
            </w:r>
          </w:p>
        </w:tc>
        <w:tc>
          <w:tcPr>
            <w:tcW w:w="1140" w:type="dxa"/>
            <w:shd w:val="clear" w:color="000000" w:fill="F8FAFB"/>
            <w:noWrap/>
            <w:hideMark/>
          </w:tcPr>
          <w:p w14:paraId="0A2DC140"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367</w:t>
            </w:r>
          </w:p>
        </w:tc>
        <w:tc>
          <w:tcPr>
            <w:tcW w:w="1320" w:type="dxa"/>
            <w:shd w:val="clear" w:color="000000" w:fill="F8FAFB"/>
            <w:noWrap/>
            <w:hideMark/>
          </w:tcPr>
          <w:p w14:paraId="185B791D"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271</w:t>
            </w:r>
          </w:p>
        </w:tc>
        <w:tc>
          <w:tcPr>
            <w:tcW w:w="1418" w:type="dxa"/>
            <w:shd w:val="clear" w:color="000000" w:fill="F8FAFB"/>
            <w:noWrap/>
            <w:hideMark/>
          </w:tcPr>
          <w:p w14:paraId="0841FE3E"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1,707</w:t>
            </w:r>
          </w:p>
        </w:tc>
      </w:tr>
      <w:tr w:rsidR="00401CC7" w:rsidRPr="00CE1D35" w14:paraId="673BBA58" w14:textId="77777777" w:rsidTr="002D2EEB">
        <w:trPr>
          <w:trHeight w:val="285"/>
        </w:trPr>
        <w:tc>
          <w:tcPr>
            <w:tcW w:w="2500" w:type="dxa"/>
            <w:shd w:val="clear" w:color="auto" w:fill="auto"/>
            <w:hideMark/>
          </w:tcPr>
          <w:p w14:paraId="6C764146" w14:textId="77777777" w:rsidR="00401CC7" w:rsidRPr="00CE1D35" w:rsidRDefault="00401CC7" w:rsidP="002D2EEB">
            <w:pPr>
              <w:spacing w:after="0" w:line="240" w:lineRule="auto"/>
              <w:rPr>
                <w:rFonts w:eastAsia="Times New Roman"/>
                <w:lang w:eastAsia="en-GB"/>
              </w:rPr>
            </w:pPr>
            <w:r w:rsidRPr="00CE1D35">
              <w:rPr>
                <w:rFonts w:eastAsia="Times New Roman"/>
                <w:color w:val="333333"/>
                <w:lang w:eastAsia="en-GB"/>
              </w:rPr>
              <w:t>Native Broadleaves</w:t>
            </w:r>
          </w:p>
        </w:tc>
        <w:tc>
          <w:tcPr>
            <w:tcW w:w="1140" w:type="dxa"/>
            <w:shd w:val="clear" w:color="auto" w:fill="auto"/>
            <w:noWrap/>
            <w:hideMark/>
          </w:tcPr>
          <w:p w14:paraId="0FB30129"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2,679</w:t>
            </w:r>
          </w:p>
        </w:tc>
        <w:tc>
          <w:tcPr>
            <w:tcW w:w="1260" w:type="dxa"/>
            <w:shd w:val="clear" w:color="auto" w:fill="auto"/>
            <w:noWrap/>
            <w:hideMark/>
          </w:tcPr>
          <w:p w14:paraId="61403691"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376</w:t>
            </w:r>
          </w:p>
        </w:tc>
        <w:tc>
          <w:tcPr>
            <w:tcW w:w="1140" w:type="dxa"/>
            <w:shd w:val="clear" w:color="auto" w:fill="auto"/>
            <w:noWrap/>
            <w:hideMark/>
          </w:tcPr>
          <w:p w14:paraId="777A4D1C"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2113</w:t>
            </w:r>
          </w:p>
        </w:tc>
        <w:tc>
          <w:tcPr>
            <w:tcW w:w="1140" w:type="dxa"/>
            <w:shd w:val="clear" w:color="auto" w:fill="auto"/>
            <w:noWrap/>
            <w:hideMark/>
          </w:tcPr>
          <w:p w14:paraId="29ED35B7"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724</w:t>
            </w:r>
          </w:p>
        </w:tc>
        <w:tc>
          <w:tcPr>
            <w:tcW w:w="1320" w:type="dxa"/>
            <w:shd w:val="clear" w:color="auto" w:fill="auto"/>
            <w:noWrap/>
            <w:hideMark/>
          </w:tcPr>
          <w:p w14:paraId="0C3281C7"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1617</w:t>
            </w:r>
          </w:p>
        </w:tc>
        <w:tc>
          <w:tcPr>
            <w:tcW w:w="1418" w:type="dxa"/>
            <w:shd w:val="clear" w:color="auto" w:fill="auto"/>
            <w:noWrap/>
            <w:hideMark/>
          </w:tcPr>
          <w:p w14:paraId="08A97009"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7,509</w:t>
            </w:r>
          </w:p>
        </w:tc>
      </w:tr>
      <w:tr w:rsidR="00401CC7" w:rsidRPr="00CE1D35" w14:paraId="2C5773AF" w14:textId="77777777" w:rsidTr="002D2EEB">
        <w:trPr>
          <w:trHeight w:val="285"/>
        </w:trPr>
        <w:tc>
          <w:tcPr>
            <w:tcW w:w="2500" w:type="dxa"/>
            <w:shd w:val="clear" w:color="000000" w:fill="F8FAFB"/>
            <w:hideMark/>
          </w:tcPr>
          <w:p w14:paraId="7968C132" w14:textId="77777777" w:rsidR="00401CC7" w:rsidRPr="00CE1D35" w:rsidRDefault="00401CC7" w:rsidP="002D2EEB">
            <w:pPr>
              <w:spacing w:after="0" w:line="240" w:lineRule="auto"/>
              <w:rPr>
                <w:rFonts w:eastAsia="Times New Roman"/>
                <w:lang w:eastAsia="en-GB"/>
              </w:rPr>
            </w:pPr>
            <w:r w:rsidRPr="00CE1D35">
              <w:rPr>
                <w:rFonts w:eastAsia="Times New Roman"/>
                <w:color w:val="333333"/>
                <w:lang w:eastAsia="en-GB"/>
              </w:rPr>
              <w:t>Native Scots Pine</w:t>
            </w:r>
          </w:p>
        </w:tc>
        <w:tc>
          <w:tcPr>
            <w:tcW w:w="1140" w:type="dxa"/>
            <w:shd w:val="clear" w:color="000000" w:fill="F8FAFB"/>
            <w:noWrap/>
            <w:hideMark/>
          </w:tcPr>
          <w:p w14:paraId="42C88556"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2,655</w:t>
            </w:r>
          </w:p>
        </w:tc>
        <w:tc>
          <w:tcPr>
            <w:tcW w:w="1260" w:type="dxa"/>
            <w:shd w:val="clear" w:color="000000" w:fill="F8FAFB"/>
            <w:noWrap/>
            <w:hideMark/>
          </w:tcPr>
          <w:p w14:paraId="21B01CEB"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786</w:t>
            </w:r>
          </w:p>
        </w:tc>
        <w:tc>
          <w:tcPr>
            <w:tcW w:w="1140" w:type="dxa"/>
            <w:shd w:val="clear" w:color="000000" w:fill="F8FAFB"/>
            <w:noWrap/>
            <w:hideMark/>
          </w:tcPr>
          <w:p w14:paraId="7C5233B1"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692</w:t>
            </w:r>
          </w:p>
        </w:tc>
        <w:tc>
          <w:tcPr>
            <w:tcW w:w="1140" w:type="dxa"/>
            <w:shd w:val="clear" w:color="000000" w:fill="F8FAFB"/>
            <w:vAlign w:val="center"/>
            <w:hideMark/>
          </w:tcPr>
          <w:p w14:paraId="789602B6" w14:textId="77777777" w:rsidR="00401CC7" w:rsidRPr="00CE1D35" w:rsidRDefault="00401CC7" w:rsidP="002D2EEB">
            <w:pPr>
              <w:spacing w:after="0" w:line="240" w:lineRule="auto"/>
              <w:rPr>
                <w:rFonts w:eastAsia="Times New Roman"/>
                <w:color w:val="000000"/>
                <w:lang w:eastAsia="en-GB"/>
              </w:rPr>
            </w:pPr>
            <w:r w:rsidRPr="00CE1D35">
              <w:rPr>
                <w:rFonts w:eastAsia="Times New Roman"/>
                <w:color w:val="000000"/>
                <w:lang w:eastAsia="en-GB"/>
              </w:rPr>
              <w:t> </w:t>
            </w:r>
          </w:p>
        </w:tc>
        <w:tc>
          <w:tcPr>
            <w:tcW w:w="1320" w:type="dxa"/>
            <w:shd w:val="clear" w:color="000000" w:fill="F8FAFB"/>
            <w:vAlign w:val="center"/>
            <w:hideMark/>
          </w:tcPr>
          <w:p w14:paraId="2DF2F23C" w14:textId="77777777" w:rsidR="00401CC7" w:rsidRPr="00CE1D35" w:rsidRDefault="00401CC7" w:rsidP="002D2EEB">
            <w:pPr>
              <w:spacing w:after="0" w:line="240" w:lineRule="auto"/>
              <w:rPr>
                <w:rFonts w:eastAsia="Times New Roman"/>
                <w:color w:val="000000"/>
                <w:lang w:eastAsia="en-GB"/>
              </w:rPr>
            </w:pPr>
            <w:r w:rsidRPr="00CE1D35">
              <w:rPr>
                <w:rFonts w:eastAsia="Times New Roman"/>
                <w:color w:val="000000"/>
                <w:lang w:eastAsia="en-GB"/>
              </w:rPr>
              <w:t> </w:t>
            </w:r>
          </w:p>
        </w:tc>
        <w:tc>
          <w:tcPr>
            <w:tcW w:w="1418" w:type="dxa"/>
            <w:shd w:val="clear" w:color="000000" w:fill="F8FAFB"/>
            <w:noWrap/>
            <w:hideMark/>
          </w:tcPr>
          <w:p w14:paraId="5C43B3D9"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4,132</w:t>
            </w:r>
          </w:p>
        </w:tc>
      </w:tr>
      <w:tr w:rsidR="00401CC7" w:rsidRPr="00CE1D35" w14:paraId="0FCB5560" w14:textId="77777777" w:rsidTr="002D2EEB">
        <w:trPr>
          <w:trHeight w:val="285"/>
        </w:trPr>
        <w:tc>
          <w:tcPr>
            <w:tcW w:w="2500" w:type="dxa"/>
            <w:shd w:val="clear" w:color="auto" w:fill="auto"/>
            <w:hideMark/>
          </w:tcPr>
          <w:p w14:paraId="31FDD0F9" w14:textId="77777777" w:rsidR="00401CC7" w:rsidRPr="00CE1D35" w:rsidRDefault="00401CC7" w:rsidP="002D2EEB">
            <w:pPr>
              <w:spacing w:after="0" w:line="240" w:lineRule="auto"/>
              <w:rPr>
                <w:rFonts w:eastAsia="Times New Roman"/>
                <w:lang w:eastAsia="en-GB"/>
              </w:rPr>
            </w:pPr>
            <w:r w:rsidRPr="00CE1D35">
              <w:rPr>
                <w:rFonts w:eastAsia="Times New Roman"/>
                <w:color w:val="333333"/>
                <w:lang w:eastAsia="en-GB"/>
              </w:rPr>
              <w:t>Native Upland Birch</w:t>
            </w:r>
          </w:p>
        </w:tc>
        <w:tc>
          <w:tcPr>
            <w:tcW w:w="1140" w:type="dxa"/>
            <w:shd w:val="clear" w:color="auto" w:fill="auto"/>
            <w:noWrap/>
            <w:hideMark/>
          </w:tcPr>
          <w:p w14:paraId="7146B679"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3,675</w:t>
            </w:r>
          </w:p>
        </w:tc>
        <w:tc>
          <w:tcPr>
            <w:tcW w:w="1260" w:type="dxa"/>
            <w:shd w:val="clear" w:color="auto" w:fill="auto"/>
            <w:noWrap/>
            <w:hideMark/>
          </w:tcPr>
          <w:p w14:paraId="40D32DE1"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79</w:t>
            </w:r>
          </w:p>
        </w:tc>
        <w:tc>
          <w:tcPr>
            <w:tcW w:w="1140" w:type="dxa"/>
            <w:shd w:val="clear" w:color="auto" w:fill="auto"/>
            <w:noWrap/>
            <w:hideMark/>
          </w:tcPr>
          <w:p w14:paraId="0093D633"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1184</w:t>
            </w:r>
          </w:p>
        </w:tc>
        <w:tc>
          <w:tcPr>
            <w:tcW w:w="1140" w:type="dxa"/>
            <w:shd w:val="clear" w:color="auto" w:fill="auto"/>
            <w:noWrap/>
            <w:hideMark/>
          </w:tcPr>
          <w:p w14:paraId="428D249D"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305</w:t>
            </w:r>
          </w:p>
        </w:tc>
        <w:tc>
          <w:tcPr>
            <w:tcW w:w="1320" w:type="dxa"/>
            <w:shd w:val="clear" w:color="auto" w:fill="auto"/>
            <w:noWrap/>
            <w:hideMark/>
          </w:tcPr>
          <w:p w14:paraId="3BC27CD1"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163</w:t>
            </w:r>
          </w:p>
        </w:tc>
        <w:tc>
          <w:tcPr>
            <w:tcW w:w="1418" w:type="dxa"/>
            <w:shd w:val="clear" w:color="auto" w:fill="auto"/>
            <w:noWrap/>
            <w:hideMark/>
          </w:tcPr>
          <w:p w14:paraId="2F3B44CE"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5,405</w:t>
            </w:r>
          </w:p>
        </w:tc>
      </w:tr>
      <w:tr w:rsidR="00401CC7" w:rsidRPr="00CE1D35" w14:paraId="113C53FF" w14:textId="77777777" w:rsidTr="002D2EEB">
        <w:trPr>
          <w:trHeight w:val="285"/>
        </w:trPr>
        <w:tc>
          <w:tcPr>
            <w:tcW w:w="2500" w:type="dxa"/>
            <w:shd w:val="clear" w:color="000000" w:fill="F8FAFB"/>
            <w:hideMark/>
          </w:tcPr>
          <w:p w14:paraId="069702BE" w14:textId="77777777" w:rsidR="00401CC7" w:rsidRPr="00CE1D35" w:rsidRDefault="00401CC7" w:rsidP="002D2EEB">
            <w:pPr>
              <w:spacing w:after="0" w:line="240" w:lineRule="auto"/>
              <w:rPr>
                <w:rFonts w:eastAsia="Times New Roman"/>
                <w:lang w:eastAsia="en-GB"/>
              </w:rPr>
            </w:pPr>
            <w:r w:rsidRPr="00CE1D35">
              <w:rPr>
                <w:rFonts w:eastAsia="Times New Roman"/>
                <w:color w:val="333333"/>
                <w:lang w:eastAsia="en-GB"/>
              </w:rPr>
              <w:t>Small / Farm Woodlands</w:t>
            </w:r>
          </w:p>
        </w:tc>
        <w:tc>
          <w:tcPr>
            <w:tcW w:w="1140" w:type="dxa"/>
            <w:shd w:val="clear" w:color="000000" w:fill="F8FAFB"/>
            <w:noWrap/>
            <w:hideMark/>
          </w:tcPr>
          <w:p w14:paraId="6A50F5B5"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23</w:t>
            </w:r>
          </w:p>
        </w:tc>
        <w:tc>
          <w:tcPr>
            <w:tcW w:w="1260" w:type="dxa"/>
            <w:shd w:val="clear" w:color="000000" w:fill="F8FAFB"/>
            <w:noWrap/>
            <w:hideMark/>
          </w:tcPr>
          <w:p w14:paraId="3EEF13EB"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85</w:t>
            </w:r>
          </w:p>
        </w:tc>
        <w:tc>
          <w:tcPr>
            <w:tcW w:w="1140" w:type="dxa"/>
            <w:shd w:val="clear" w:color="000000" w:fill="F8FAFB"/>
            <w:noWrap/>
            <w:hideMark/>
          </w:tcPr>
          <w:p w14:paraId="74DBFF2D"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105</w:t>
            </w:r>
          </w:p>
        </w:tc>
        <w:tc>
          <w:tcPr>
            <w:tcW w:w="1140" w:type="dxa"/>
            <w:shd w:val="clear" w:color="000000" w:fill="F8FAFB"/>
            <w:noWrap/>
            <w:hideMark/>
          </w:tcPr>
          <w:p w14:paraId="36D95543"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109</w:t>
            </w:r>
          </w:p>
        </w:tc>
        <w:tc>
          <w:tcPr>
            <w:tcW w:w="1320" w:type="dxa"/>
            <w:shd w:val="clear" w:color="000000" w:fill="F8FAFB"/>
            <w:noWrap/>
            <w:hideMark/>
          </w:tcPr>
          <w:p w14:paraId="4AA8C52E"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211</w:t>
            </w:r>
          </w:p>
        </w:tc>
        <w:tc>
          <w:tcPr>
            <w:tcW w:w="1418" w:type="dxa"/>
            <w:shd w:val="clear" w:color="000000" w:fill="F8FAFB"/>
            <w:noWrap/>
            <w:hideMark/>
          </w:tcPr>
          <w:p w14:paraId="47A14762"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532</w:t>
            </w:r>
          </w:p>
        </w:tc>
      </w:tr>
      <w:tr w:rsidR="00401CC7" w:rsidRPr="00CE1D35" w14:paraId="2456D4B5" w14:textId="77777777" w:rsidTr="002D2EEB">
        <w:trPr>
          <w:trHeight w:val="249"/>
        </w:trPr>
        <w:tc>
          <w:tcPr>
            <w:tcW w:w="2500" w:type="dxa"/>
            <w:shd w:val="clear" w:color="auto" w:fill="auto"/>
            <w:hideMark/>
          </w:tcPr>
          <w:p w14:paraId="526F057F" w14:textId="77777777" w:rsidR="00401CC7" w:rsidRPr="00CE1D35" w:rsidRDefault="00401CC7" w:rsidP="002D2EEB">
            <w:pPr>
              <w:spacing w:after="0" w:line="240" w:lineRule="auto"/>
              <w:rPr>
                <w:rFonts w:eastAsia="Times New Roman"/>
                <w:color w:val="000000"/>
                <w:lang w:eastAsia="en-GB"/>
              </w:rPr>
            </w:pPr>
            <w:r w:rsidRPr="00CE1D35">
              <w:rPr>
                <w:rFonts w:eastAsia="Times New Roman"/>
                <w:color w:val="333333"/>
                <w:lang w:eastAsia="en-GB"/>
              </w:rPr>
              <w:t>NB in N&amp;W Isles</w:t>
            </w:r>
          </w:p>
        </w:tc>
        <w:tc>
          <w:tcPr>
            <w:tcW w:w="1140" w:type="dxa"/>
            <w:shd w:val="clear" w:color="auto" w:fill="auto"/>
            <w:noWrap/>
            <w:vAlign w:val="center"/>
            <w:hideMark/>
          </w:tcPr>
          <w:p w14:paraId="0832CB42"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66</w:t>
            </w:r>
          </w:p>
        </w:tc>
        <w:tc>
          <w:tcPr>
            <w:tcW w:w="1260" w:type="dxa"/>
            <w:shd w:val="clear" w:color="auto" w:fill="auto"/>
            <w:vAlign w:val="center"/>
            <w:hideMark/>
          </w:tcPr>
          <w:p w14:paraId="1FAC4898" w14:textId="77777777" w:rsidR="00401CC7" w:rsidRPr="00CE1D35" w:rsidRDefault="00401CC7" w:rsidP="002D2EEB">
            <w:pPr>
              <w:spacing w:after="0" w:line="240" w:lineRule="auto"/>
              <w:rPr>
                <w:rFonts w:eastAsia="Times New Roman"/>
                <w:color w:val="000000"/>
                <w:lang w:eastAsia="en-GB"/>
              </w:rPr>
            </w:pPr>
            <w:r w:rsidRPr="00CE1D35">
              <w:rPr>
                <w:rFonts w:eastAsia="Times New Roman"/>
                <w:color w:val="000000"/>
                <w:lang w:eastAsia="en-GB"/>
              </w:rPr>
              <w:t> </w:t>
            </w:r>
          </w:p>
        </w:tc>
        <w:tc>
          <w:tcPr>
            <w:tcW w:w="1140" w:type="dxa"/>
            <w:shd w:val="clear" w:color="auto" w:fill="auto"/>
            <w:noWrap/>
            <w:vAlign w:val="center"/>
            <w:hideMark/>
          </w:tcPr>
          <w:p w14:paraId="2F69A9BD"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3</w:t>
            </w:r>
          </w:p>
        </w:tc>
        <w:tc>
          <w:tcPr>
            <w:tcW w:w="1140" w:type="dxa"/>
            <w:shd w:val="clear" w:color="auto" w:fill="auto"/>
            <w:vAlign w:val="center"/>
            <w:hideMark/>
          </w:tcPr>
          <w:p w14:paraId="03A18C2F" w14:textId="77777777" w:rsidR="00401CC7" w:rsidRPr="00CE1D35" w:rsidRDefault="00401CC7" w:rsidP="002D2EEB">
            <w:pPr>
              <w:spacing w:after="0" w:line="240" w:lineRule="auto"/>
              <w:rPr>
                <w:rFonts w:eastAsia="Times New Roman"/>
                <w:color w:val="000000"/>
                <w:lang w:eastAsia="en-GB"/>
              </w:rPr>
            </w:pPr>
            <w:r w:rsidRPr="00CE1D35">
              <w:rPr>
                <w:rFonts w:eastAsia="Times New Roman"/>
                <w:color w:val="000000"/>
                <w:lang w:eastAsia="en-GB"/>
              </w:rPr>
              <w:t> </w:t>
            </w:r>
          </w:p>
        </w:tc>
        <w:tc>
          <w:tcPr>
            <w:tcW w:w="1320" w:type="dxa"/>
            <w:shd w:val="clear" w:color="auto" w:fill="auto"/>
            <w:vAlign w:val="center"/>
            <w:hideMark/>
          </w:tcPr>
          <w:p w14:paraId="678B965A" w14:textId="77777777" w:rsidR="00401CC7" w:rsidRPr="00CE1D35" w:rsidRDefault="00401CC7" w:rsidP="002D2EEB">
            <w:pPr>
              <w:spacing w:after="0" w:line="240" w:lineRule="auto"/>
              <w:rPr>
                <w:rFonts w:eastAsia="Times New Roman"/>
                <w:color w:val="000000"/>
                <w:lang w:eastAsia="en-GB"/>
              </w:rPr>
            </w:pPr>
            <w:r w:rsidRPr="00CE1D35">
              <w:rPr>
                <w:rFonts w:eastAsia="Times New Roman"/>
                <w:color w:val="000000"/>
                <w:lang w:eastAsia="en-GB"/>
              </w:rPr>
              <w:t> </w:t>
            </w:r>
          </w:p>
        </w:tc>
        <w:tc>
          <w:tcPr>
            <w:tcW w:w="1418" w:type="dxa"/>
            <w:shd w:val="clear" w:color="auto" w:fill="auto"/>
            <w:noWrap/>
            <w:vAlign w:val="center"/>
            <w:hideMark/>
          </w:tcPr>
          <w:p w14:paraId="7113EC22"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69</w:t>
            </w:r>
          </w:p>
        </w:tc>
      </w:tr>
      <w:tr w:rsidR="00401CC7" w:rsidRPr="00CE1D35" w14:paraId="0D6C2424" w14:textId="77777777" w:rsidTr="002D2EEB">
        <w:trPr>
          <w:trHeight w:val="285"/>
        </w:trPr>
        <w:tc>
          <w:tcPr>
            <w:tcW w:w="2500" w:type="dxa"/>
            <w:shd w:val="clear" w:color="000000" w:fill="F8FAFB"/>
            <w:hideMark/>
          </w:tcPr>
          <w:p w14:paraId="322ADD13" w14:textId="77777777" w:rsidR="00401CC7" w:rsidRPr="00CE1D35" w:rsidRDefault="00401CC7" w:rsidP="002D2EEB">
            <w:pPr>
              <w:spacing w:after="0" w:line="240" w:lineRule="auto"/>
              <w:rPr>
                <w:rFonts w:eastAsia="Times New Roman"/>
                <w:lang w:eastAsia="en-GB"/>
              </w:rPr>
            </w:pPr>
            <w:r w:rsidRPr="00CE1D35">
              <w:rPr>
                <w:rFonts w:eastAsia="Times New Roman"/>
                <w:color w:val="333333"/>
                <w:lang w:eastAsia="en-GB"/>
              </w:rPr>
              <w:t>Native Low Density</w:t>
            </w:r>
          </w:p>
        </w:tc>
        <w:tc>
          <w:tcPr>
            <w:tcW w:w="1140" w:type="dxa"/>
            <w:shd w:val="clear" w:color="000000" w:fill="F8FAFB"/>
            <w:noWrap/>
            <w:hideMark/>
          </w:tcPr>
          <w:p w14:paraId="316FFA05"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243</w:t>
            </w:r>
          </w:p>
        </w:tc>
        <w:tc>
          <w:tcPr>
            <w:tcW w:w="1260" w:type="dxa"/>
            <w:shd w:val="clear" w:color="000000" w:fill="F8FAFB"/>
            <w:noWrap/>
            <w:hideMark/>
          </w:tcPr>
          <w:p w14:paraId="2FD75CAC"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13</w:t>
            </w:r>
          </w:p>
        </w:tc>
        <w:tc>
          <w:tcPr>
            <w:tcW w:w="1140" w:type="dxa"/>
            <w:shd w:val="clear" w:color="000000" w:fill="F8FAFB"/>
            <w:noWrap/>
            <w:hideMark/>
          </w:tcPr>
          <w:p w14:paraId="740AF791"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272</w:t>
            </w:r>
          </w:p>
        </w:tc>
        <w:tc>
          <w:tcPr>
            <w:tcW w:w="1140" w:type="dxa"/>
            <w:shd w:val="clear" w:color="000000" w:fill="F8FAFB"/>
            <w:noWrap/>
            <w:hideMark/>
          </w:tcPr>
          <w:p w14:paraId="63C861A5"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3</w:t>
            </w:r>
          </w:p>
        </w:tc>
        <w:tc>
          <w:tcPr>
            <w:tcW w:w="1320" w:type="dxa"/>
            <w:shd w:val="clear" w:color="000000" w:fill="F8FAFB"/>
            <w:noWrap/>
            <w:hideMark/>
          </w:tcPr>
          <w:p w14:paraId="1956ED68"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164</w:t>
            </w:r>
          </w:p>
        </w:tc>
        <w:tc>
          <w:tcPr>
            <w:tcW w:w="1418" w:type="dxa"/>
            <w:shd w:val="clear" w:color="000000" w:fill="F8FAFB"/>
            <w:noWrap/>
            <w:hideMark/>
          </w:tcPr>
          <w:p w14:paraId="36DE68ED"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695</w:t>
            </w:r>
          </w:p>
        </w:tc>
      </w:tr>
      <w:tr w:rsidR="00401CC7" w:rsidRPr="00CE1D35" w14:paraId="16CB9537" w14:textId="77777777" w:rsidTr="002D2EEB">
        <w:trPr>
          <w:trHeight w:val="285"/>
        </w:trPr>
        <w:tc>
          <w:tcPr>
            <w:tcW w:w="2500" w:type="dxa"/>
            <w:shd w:val="clear" w:color="auto" w:fill="auto"/>
            <w:hideMark/>
          </w:tcPr>
          <w:p w14:paraId="08B33CF8" w14:textId="77777777" w:rsidR="00401CC7" w:rsidRPr="00CE1D35" w:rsidRDefault="00401CC7" w:rsidP="002D2EEB">
            <w:pPr>
              <w:spacing w:after="0" w:line="240" w:lineRule="auto"/>
              <w:rPr>
                <w:rFonts w:eastAsia="Times New Roman"/>
                <w:lang w:eastAsia="en-GB"/>
              </w:rPr>
            </w:pPr>
            <w:r w:rsidRPr="00CE1D35">
              <w:rPr>
                <w:rFonts w:eastAsia="Times New Roman"/>
                <w:color w:val="333333"/>
                <w:lang w:eastAsia="en-GB"/>
              </w:rPr>
              <w:t>Nat Regen</w:t>
            </w:r>
          </w:p>
        </w:tc>
        <w:tc>
          <w:tcPr>
            <w:tcW w:w="1140" w:type="dxa"/>
            <w:shd w:val="clear" w:color="auto" w:fill="auto"/>
            <w:noWrap/>
            <w:hideMark/>
          </w:tcPr>
          <w:p w14:paraId="5F3698EF"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1,994</w:t>
            </w:r>
          </w:p>
        </w:tc>
        <w:tc>
          <w:tcPr>
            <w:tcW w:w="1260" w:type="dxa"/>
            <w:shd w:val="clear" w:color="auto" w:fill="auto"/>
            <w:noWrap/>
            <w:hideMark/>
          </w:tcPr>
          <w:p w14:paraId="4C95F46C"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968</w:t>
            </w:r>
          </w:p>
        </w:tc>
        <w:tc>
          <w:tcPr>
            <w:tcW w:w="1140" w:type="dxa"/>
            <w:shd w:val="clear" w:color="auto" w:fill="auto"/>
            <w:noWrap/>
            <w:hideMark/>
          </w:tcPr>
          <w:p w14:paraId="2FCEA6C8"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94</w:t>
            </w:r>
          </w:p>
        </w:tc>
        <w:tc>
          <w:tcPr>
            <w:tcW w:w="1140" w:type="dxa"/>
            <w:shd w:val="clear" w:color="auto" w:fill="auto"/>
            <w:vAlign w:val="center"/>
            <w:hideMark/>
          </w:tcPr>
          <w:p w14:paraId="25E10E71" w14:textId="77777777" w:rsidR="00401CC7" w:rsidRPr="00CE1D35" w:rsidRDefault="00401CC7" w:rsidP="002D2EEB">
            <w:pPr>
              <w:spacing w:after="0" w:line="240" w:lineRule="auto"/>
              <w:rPr>
                <w:rFonts w:eastAsia="Times New Roman"/>
                <w:color w:val="000000"/>
                <w:lang w:eastAsia="en-GB"/>
              </w:rPr>
            </w:pPr>
            <w:r w:rsidRPr="00CE1D35">
              <w:rPr>
                <w:rFonts w:eastAsia="Times New Roman"/>
                <w:color w:val="000000"/>
                <w:lang w:eastAsia="en-GB"/>
              </w:rPr>
              <w:t> </w:t>
            </w:r>
          </w:p>
        </w:tc>
        <w:tc>
          <w:tcPr>
            <w:tcW w:w="1320" w:type="dxa"/>
            <w:shd w:val="clear" w:color="auto" w:fill="auto"/>
            <w:vAlign w:val="center"/>
            <w:hideMark/>
          </w:tcPr>
          <w:p w14:paraId="45F3B8FA" w14:textId="77777777" w:rsidR="00401CC7" w:rsidRPr="00CE1D35" w:rsidRDefault="00401CC7" w:rsidP="002D2EEB">
            <w:pPr>
              <w:spacing w:after="0" w:line="240" w:lineRule="auto"/>
              <w:rPr>
                <w:rFonts w:eastAsia="Times New Roman"/>
                <w:color w:val="000000"/>
                <w:lang w:eastAsia="en-GB"/>
              </w:rPr>
            </w:pPr>
            <w:r w:rsidRPr="00CE1D35">
              <w:rPr>
                <w:rFonts w:eastAsia="Times New Roman"/>
                <w:color w:val="000000"/>
                <w:lang w:eastAsia="en-GB"/>
              </w:rPr>
              <w:t> </w:t>
            </w:r>
          </w:p>
        </w:tc>
        <w:tc>
          <w:tcPr>
            <w:tcW w:w="1418" w:type="dxa"/>
            <w:shd w:val="clear" w:color="auto" w:fill="auto"/>
            <w:noWrap/>
            <w:hideMark/>
          </w:tcPr>
          <w:p w14:paraId="320C23F1" w14:textId="77777777" w:rsidR="00401CC7" w:rsidRPr="00CE1D35" w:rsidRDefault="00401CC7" w:rsidP="002D2EEB">
            <w:pPr>
              <w:spacing w:after="0" w:line="240" w:lineRule="auto"/>
              <w:jc w:val="right"/>
              <w:rPr>
                <w:rFonts w:eastAsia="Times New Roman"/>
                <w:color w:val="333333"/>
                <w:lang w:eastAsia="en-GB"/>
              </w:rPr>
            </w:pPr>
            <w:r w:rsidRPr="00CE1D35">
              <w:rPr>
                <w:rFonts w:eastAsia="Times New Roman"/>
                <w:color w:val="333333"/>
                <w:lang w:eastAsia="en-GB"/>
              </w:rPr>
              <w:t>3,056</w:t>
            </w:r>
          </w:p>
        </w:tc>
      </w:tr>
      <w:tr w:rsidR="00401CC7" w:rsidRPr="00CE1D35" w14:paraId="4A393E42" w14:textId="77777777" w:rsidTr="002D2EEB">
        <w:trPr>
          <w:trHeight w:val="285"/>
        </w:trPr>
        <w:tc>
          <w:tcPr>
            <w:tcW w:w="2500" w:type="dxa"/>
            <w:shd w:val="clear" w:color="auto" w:fill="auto"/>
            <w:hideMark/>
          </w:tcPr>
          <w:p w14:paraId="1B282F75" w14:textId="77777777" w:rsidR="00401CC7" w:rsidRPr="00CE1D35" w:rsidRDefault="00401CC7" w:rsidP="002D2EEB">
            <w:pPr>
              <w:spacing w:after="0" w:line="240" w:lineRule="auto"/>
              <w:rPr>
                <w:rFonts w:eastAsia="Times New Roman"/>
                <w:b/>
                <w:bCs/>
                <w:lang w:eastAsia="en-GB"/>
              </w:rPr>
            </w:pPr>
            <w:r w:rsidRPr="00CE1D35">
              <w:rPr>
                <w:rFonts w:eastAsia="Times New Roman"/>
                <w:b/>
                <w:bCs/>
                <w:color w:val="333333"/>
                <w:lang w:eastAsia="en-GB"/>
              </w:rPr>
              <w:t>Total</w:t>
            </w:r>
          </w:p>
        </w:tc>
        <w:tc>
          <w:tcPr>
            <w:tcW w:w="1140" w:type="dxa"/>
            <w:shd w:val="clear" w:color="auto" w:fill="auto"/>
            <w:noWrap/>
            <w:hideMark/>
          </w:tcPr>
          <w:p w14:paraId="6FB15220" w14:textId="77777777" w:rsidR="00401CC7" w:rsidRPr="00CE1D35" w:rsidRDefault="00401CC7" w:rsidP="002D2EEB">
            <w:pPr>
              <w:spacing w:after="0" w:line="240" w:lineRule="auto"/>
              <w:jc w:val="right"/>
              <w:rPr>
                <w:rFonts w:eastAsia="Times New Roman"/>
                <w:b/>
                <w:bCs/>
                <w:color w:val="333333"/>
                <w:lang w:eastAsia="en-GB"/>
              </w:rPr>
            </w:pPr>
            <w:r w:rsidRPr="00CE1D35">
              <w:rPr>
                <w:rFonts w:eastAsia="Times New Roman"/>
                <w:b/>
                <w:bCs/>
                <w:color w:val="333333"/>
                <w:lang w:eastAsia="en-GB"/>
              </w:rPr>
              <w:t>13,632</w:t>
            </w:r>
          </w:p>
        </w:tc>
        <w:tc>
          <w:tcPr>
            <w:tcW w:w="1260" w:type="dxa"/>
            <w:shd w:val="clear" w:color="auto" w:fill="auto"/>
            <w:noWrap/>
            <w:hideMark/>
          </w:tcPr>
          <w:p w14:paraId="00A87F6E" w14:textId="77777777" w:rsidR="00401CC7" w:rsidRPr="00CE1D35" w:rsidRDefault="00401CC7" w:rsidP="002D2EEB">
            <w:pPr>
              <w:spacing w:after="0" w:line="240" w:lineRule="auto"/>
              <w:jc w:val="right"/>
              <w:rPr>
                <w:rFonts w:eastAsia="Times New Roman"/>
                <w:b/>
                <w:bCs/>
                <w:color w:val="333333"/>
                <w:lang w:eastAsia="en-GB"/>
              </w:rPr>
            </w:pPr>
            <w:r w:rsidRPr="00CE1D35">
              <w:rPr>
                <w:rFonts w:eastAsia="Times New Roman"/>
                <w:b/>
                <w:bCs/>
                <w:color w:val="333333"/>
                <w:lang w:eastAsia="en-GB"/>
              </w:rPr>
              <w:t>4843</w:t>
            </w:r>
          </w:p>
        </w:tc>
        <w:tc>
          <w:tcPr>
            <w:tcW w:w="1140" w:type="dxa"/>
            <w:shd w:val="clear" w:color="auto" w:fill="auto"/>
            <w:noWrap/>
            <w:hideMark/>
          </w:tcPr>
          <w:p w14:paraId="5B2D3E5B" w14:textId="77777777" w:rsidR="00401CC7" w:rsidRPr="00CE1D35" w:rsidRDefault="00401CC7" w:rsidP="002D2EEB">
            <w:pPr>
              <w:spacing w:after="0" w:line="240" w:lineRule="auto"/>
              <w:jc w:val="right"/>
              <w:rPr>
                <w:rFonts w:eastAsia="Times New Roman"/>
                <w:b/>
                <w:bCs/>
                <w:color w:val="333333"/>
                <w:lang w:eastAsia="en-GB"/>
              </w:rPr>
            </w:pPr>
            <w:r w:rsidRPr="00CE1D35">
              <w:rPr>
                <w:rFonts w:eastAsia="Times New Roman"/>
                <w:b/>
                <w:bCs/>
                <w:color w:val="333333"/>
                <w:lang w:eastAsia="en-GB"/>
              </w:rPr>
              <w:t>13535</w:t>
            </w:r>
          </w:p>
        </w:tc>
        <w:tc>
          <w:tcPr>
            <w:tcW w:w="1140" w:type="dxa"/>
            <w:shd w:val="clear" w:color="auto" w:fill="auto"/>
            <w:noWrap/>
            <w:hideMark/>
          </w:tcPr>
          <w:p w14:paraId="71BE0704" w14:textId="77777777" w:rsidR="00401CC7" w:rsidRPr="00CE1D35" w:rsidRDefault="00401CC7" w:rsidP="002D2EEB">
            <w:pPr>
              <w:spacing w:after="0" w:line="240" w:lineRule="auto"/>
              <w:jc w:val="right"/>
              <w:rPr>
                <w:rFonts w:eastAsia="Times New Roman"/>
                <w:b/>
                <w:bCs/>
                <w:color w:val="333333"/>
                <w:lang w:eastAsia="en-GB"/>
              </w:rPr>
            </w:pPr>
            <w:r w:rsidRPr="00CE1D35">
              <w:rPr>
                <w:rFonts w:eastAsia="Times New Roman"/>
                <w:b/>
                <w:bCs/>
                <w:color w:val="333333"/>
                <w:lang w:eastAsia="en-GB"/>
              </w:rPr>
              <w:t>5,471</w:t>
            </w:r>
          </w:p>
        </w:tc>
        <w:tc>
          <w:tcPr>
            <w:tcW w:w="1320" w:type="dxa"/>
            <w:shd w:val="clear" w:color="auto" w:fill="auto"/>
            <w:noWrap/>
            <w:hideMark/>
          </w:tcPr>
          <w:p w14:paraId="22202794" w14:textId="77777777" w:rsidR="00401CC7" w:rsidRPr="00CE1D35" w:rsidRDefault="00401CC7" w:rsidP="002D2EEB">
            <w:pPr>
              <w:spacing w:after="0" w:line="240" w:lineRule="auto"/>
              <w:jc w:val="right"/>
              <w:rPr>
                <w:rFonts w:eastAsia="Times New Roman"/>
                <w:b/>
                <w:bCs/>
                <w:color w:val="333333"/>
                <w:lang w:eastAsia="en-GB"/>
              </w:rPr>
            </w:pPr>
            <w:r w:rsidRPr="00CE1D35">
              <w:rPr>
                <w:rFonts w:eastAsia="Times New Roman"/>
                <w:b/>
                <w:bCs/>
                <w:color w:val="333333"/>
                <w:lang w:eastAsia="en-GB"/>
              </w:rPr>
              <w:t>17363</w:t>
            </w:r>
          </w:p>
        </w:tc>
        <w:tc>
          <w:tcPr>
            <w:tcW w:w="1418" w:type="dxa"/>
            <w:shd w:val="clear" w:color="auto" w:fill="auto"/>
            <w:noWrap/>
            <w:hideMark/>
          </w:tcPr>
          <w:p w14:paraId="469B2DCF" w14:textId="77777777" w:rsidR="00401CC7" w:rsidRPr="00CE1D35" w:rsidRDefault="00401CC7" w:rsidP="002D2EEB">
            <w:pPr>
              <w:spacing w:after="0" w:line="240" w:lineRule="auto"/>
              <w:jc w:val="right"/>
              <w:rPr>
                <w:rFonts w:eastAsia="Times New Roman"/>
                <w:b/>
                <w:bCs/>
                <w:color w:val="333333"/>
                <w:lang w:eastAsia="en-GB"/>
              </w:rPr>
            </w:pPr>
            <w:r w:rsidRPr="00CE1D35">
              <w:rPr>
                <w:rFonts w:eastAsia="Times New Roman"/>
                <w:b/>
                <w:bCs/>
                <w:color w:val="333333"/>
                <w:lang w:eastAsia="en-GB"/>
              </w:rPr>
              <w:t>54,844</w:t>
            </w:r>
          </w:p>
        </w:tc>
      </w:tr>
    </w:tbl>
    <w:p w14:paraId="11163E93" w14:textId="77777777" w:rsidR="00401CC7" w:rsidRPr="00CE1D35" w:rsidRDefault="00401CC7" w:rsidP="00401CC7"/>
    <w:p w14:paraId="1D6B43A7" w14:textId="429CD692" w:rsidR="00401CC7" w:rsidRPr="00CE1D35" w:rsidRDefault="00401CC7" w:rsidP="00401CC7">
      <w:r w:rsidRPr="00CE1D35">
        <w:t xml:space="preserve">Note that </w:t>
      </w:r>
      <w:r w:rsidR="00C01680" w:rsidRPr="00CE1D35">
        <w:t xml:space="preserve">the </w:t>
      </w:r>
      <w:r w:rsidRPr="00CE1D35">
        <w:t xml:space="preserve">discrepancy in total area appears in </w:t>
      </w:r>
      <w:r w:rsidR="00C01680" w:rsidRPr="00CE1D35">
        <w:t xml:space="preserve">the </w:t>
      </w:r>
      <w:r w:rsidRPr="00CE1D35">
        <w:t>published figures. More recent updates are available for the second table, but not the first, publication of which was discontinued after July 2021</w:t>
      </w:r>
      <w:r w:rsidR="00C01680" w:rsidRPr="00CE1D35">
        <w:t xml:space="preserve">. </w:t>
      </w:r>
    </w:p>
    <w:p w14:paraId="3A48F822" w14:textId="77777777" w:rsidR="00195841" w:rsidRPr="00CE1D35" w:rsidRDefault="00195841" w:rsidP="00401CC7"/>
    <w:p w14:paraId="2E52D09B" w14:textId="77777777" w:rsidR="00195841" w:rsidRPr="00CE1D35" w:rsidRDefault="00195841">
      <w:pPr>
        <w:widowControl/>
        <w:rPr>
          <w:rFonts w:asciiTheme="majorHAnsi" w:eastAsiaTheme="majorEastAsia" w:hAnsiTheme="majorHAnsi" w:cstheme="majorBidi"/>
          <w:color w:val="2F5496" w:themeColor="accent1" w:themeShade="BF"/>
          <w:sz w:val="32"/>
          <w:szCs w:val="32"/>
        </w:rPr>
      </w:pPr>
      <w:r w:rsidRPr="00CE1D35">
        <w:br w:type="page"/>
      </w:r>
    </w:p>
    <w:p w14:paraId="19426B39" w14:textId="5BBB2FE3" w:rsidR="00195841" w:rsidRPr="00CE1D35" w:rsidRDefault="00195841" w:rsidP="00195841">
      <w:pPr>
        <w:pStyle w:val="Heading1"/>
        <w:numPr>
          <w:ilvl w:val="0"/>
          <w:numId w:val="0"/>
        </w:numPr>
      </w:pPr>
      <w:r w:rsidRPr="00CE1D35">
        <w:lastRenderedPageBreak/>
        <w:t>Appendix 2. Suggestions for rewording UKFS</w:t>
      </w:r>
      <w:r w:rsidR="00634335" w:rsidRPr="00CE1D35">
        <w:t xml:space="preserve"> requirements</w:t>
      </w:r>
    </w:p>
    <w:tbl>
      <w:tblPr>
        <w:tblStyle w:val="TableGrid"/>
        <w:tblpPr w:leftFromText="180" w:rightFromText="180" w:vertAnchor="page" w:horzAnchor="margin" w:tblpY="2225"/>
        <w:tblW w:w="0" w:type="auto"/>
        <w:tblLook w:val="04A0" w:firstRow="1" w:lastRow="0" w:firstColumn="1" w:lastColumn="0" w:noHBand="0" w:noVBand="1"/>
      </w:tblPr>
      <w:tblGrid>
        <w:gridCol w:w="846"/>
        <w:gridCol w:w="3969"/>
        <w:gridCol w:w="4201"/>
      </w:tblGrid>
      <w:tr w:rsidR="002A317E" w:rsidRPr="00CE1D35" w14:paraId="0353545D" w14:textId="77777777" w:rsidTr="00D55D9B">
        <w:tc>
          <w:tcPr>
            <w:tcW w:w="846" w:type="dxa"/>
          </w:tcPr>
          <w:p w14:paraId="15F43F0E" w14:textId="3A051DDE" w:rsidR="002A317E" w:rsidRPr="00CE1D35" w:rsidRDefault="002A317E" w:rsidP="00D55D9B">
            <w:pPr>
              <w:rPr>
                <w:b/>
                <w:bCs/>
                <w:sz w:val="20"/>
                <w:szCs w:val="20"/>
              </w:rPr>
            </w:pPr>
            <w:r w:rsidRPr="00CE1D35">
              <w:rPr>
                <w:b/>
                <w:bCs/>
                <w:sz w:val="20"/>
                <w:szCs w:val="20"/>
              </w:rPr>
              <w:t>Page no.*</w:t>
            </w:r>
          </w:p>
        </w:tc>
        <w:tc>
          <w:tcPr>
            <w:tcW w:w="3969" w:type="dxa"/>
          </w:tcPr>
          <w:p w14:paraId="5623AE96" w14:textId="1A261B34" w:rsidR="002A317E" w:rsidRPr="00CE1D35" w:rsidRDefault="00D55D9B" w:rsidP="00D55D9B">
            <w:pPr>
              <w:rPr>
                <w:b/>
                <w:bCs/>
                <w:sz w:val="20"/>
                <w:szCs w:val="20"/>
              </w:rPr>
            </w:pPr>
            <w:r w:rsidRPr="00CE1D35">
              <w:rPr>
                <w:b/>
                <w:bCs/>
                <w:sz w:val="20"/>
                <w:szCs w:val="20"/>
              </w:rPr>
              <w:t xml:space="preserve">Current wording </w:t>
            </w:r>
          </w:p>
        </w:tc>
        <w:tc>
          <w:tcPr>
            <w:tcW w:w="4201" w:type="dxa"/>
          </w:tcPr>
          <w:p w14:paraId="31ED9AAB" w14:textId="19F817F0" w:rsidR="002A317E" w:rsidRPr="00CE1D35" w:rsidRDefault="00634335" w:rsidP="00D55D9B">
            <w:pPr>
              <w:rPr>
                <w:b/>
                <w:bCs/>
                <w:color w:val="auto"/>
                <w:sz w:val="20"/>
                <w:szCs w:val="20"/>
              </w:rPr>
            </w:pPr>
            <w:r w:rsidRPr="00CE1D35">
              <w:rPr>
                <w:b/>
                <w:bCs/>
                <w:color w:val="auto"/>
                <w:sz w:val="20"/>
                <w:szCs w:val="20"/>
              </w:rPr>
              <w:t>Suggested rewording</w:t>
            </w:r>
          </w:p>
        </w:tc>
      </w:tr>
      <w:tr w:rsidR="000B48B5" w:rsidRPr="00CE1D35" w14:paraId="38FA7014" w14:textId="77777777" w:rsidTr="00D55D9B">
        <w:tc>
          <w:tcPr>
            <w:tcW w:w="846" w:type="dxa"/>
          </w:tcPr>
          <w:p w14:paraId="6E75BC8E" w14:textId="77603045" w:rsidR="000B48B5" w:rsidRPr="00CE1D35" w:rsidRDefault="000B48B5" w:rsidP="00D55D9B">
            <w:pPr>
              <w:rPr>
                <w:sz w:val="20"/>
                <w:szCs w:val="20"/>
              </w:rPr>
            </w:pPr>
            <w:r w:rsidRPr="00CE1D35">
              <w:rPr>
                <w:sz w:val="20"/>
                <w:szCs w:val="20"/>
              </w:rPr>
              <w:t>124</w:t>
            </w:r>
          </w:p>
        </w:tc>
        <w:tc>
          <w:tcPr>
            <w:tcW w:w="3969" w:type="dxa"/>
          </w:tcPr>
          <w:p w14:paraId="35CF9284" w14:textId="756B9E26" w:rsidR="000B48B5" w:rsidRPr="00CE1D35" w:rsidRDefault="000B48B5" w:rsidP="000B48B5">
            <w:pPr>
              <w:rPr>
                <w:color w:val="auto"/>
                <w:sz w:val="20"/>
                <w:szCs w:val="20"/>
              </w:rPr>
            </w:pPr>
            <w:r w:rsidRPr="00CE1D35">
              <w:rPr>
                <w:color w:val="auto"/>
                <w:sz w:val="20"/>
                <w:szCs w:val="20"/>
              </w:rPr>
              <w:t xml:space="preserve">Consider the appropriate level of visual diversity: this will depend on the location, scale and character of the landscape.  </w:t>
            </w:r>
          </w:p>
        </w:tc>
        <w:tc>
          <w:tcPr>
            <w:tcW w:w="4201" w:type="dxa"/>
          </w:tcPr>
          <w:p w14:paraId="7734A066" w14:textId="319EB009" w:rsidR="000B48B5" w:rsidRPr="00CE1D35" w:rsidRDefault="000B48B5" w:rsidP="000B48B5">
            <w:pPr>
              <w:rPr>
                <w:color w:val="auto"/>
                <w:sz w:val="20"/>
                <w:szCs w:val="20"/>
              </w:rPr>
            </w:pPr>
            <w:r w:rsidRPr="00CE1D35">
              <w:rPr>
                <w:color w:val="auto"/>
                <w:sz w:val="20"/>
                <w:szCs w:val="20"/>
              </w:rPr>
              <w:t xml:space="preserve">Include cumulative impacts of existing woodland and other local proposals in progress. </w:t>
            </w:r>
          </w:p>
        </w:tc>
      </w:tr>
      <w:tr w:rsidR="004326C7" w:rsidRPr="00CE1D35" w14:paraId="0A587165" w14:textId="77777777" w:rsidTr="00D55D9B">
        <w:tc>
          <w:tcPr>
            <w:tcW w:w="846" w:type="dxa"/>
          </w:tcPr>
          <w:p w14:paraId="3502D840" w14:textId="64ED6403" w:rsidR="004326C7" w:rsidRPr="00CE1D35" w:rsidRDefault="004326C7" w:rsidP="004326C7">
            <w:pPr>
              <w:rPr>
                <w:sz w:val="20"/>
                <w:szCs w:val="20"/>
              </w:rPr>
            </w:pPr>
            <w:r w:rsidRPr="00CE1D35">
              <w:rPr>
                <w:sz w:val="20"/>
                <w:szCs w:val="20"/>
              </w:rPr>
              <w:t>127</w:t>
            </w:r>
          </w:p>
        </w:tc>
        <w:tc>
          <w:tcPr>
            <w:tcW w:w="3969" w:type="dxa"/>
          </w:tcPr>
          <w:p w14:paraId="492ED6F5" w14:textId="08AC57CC" w:rsidR="004326C7" w:rsidRPr="00CE1D35" w:rsidRDefault="004326C7" w:rsidP="004326C7">
            <w:pPr>
              <w:rPr>
                <w:color w:val="auto"/>
                <w:sz w:val="20"/>
                <w:szCs w:val="20"/>
              </w:rPr>
            </w:pPr>
            <w:r w:rsidRPr="00CE1D35">
              <w:rPr>
                <w:sz w:val="20"/>
                <w:szCs w:val="20"/>
              </w:rPr>
              <w:t xml:space="preserve">Identify what makes a place special or unique and consider how forest design can conserve and emphasise these qualities, rather than detract from them. </w:t>
            </w:r>
          </w:p>
        </w:tc>
        <w:tc>
          <w:tcPr>
            <w:tcW w:w="4201" w:type="dxa"/>
          </w:tcPr>
          <w:p w14:paraId="24F94853" w14:textId="40AAF242" w:rsidR="004326C7" w:rsidRPr="00CE1D35" w:rsidRDefault="004326C7" w:rsidP="004326C7">
            <w:pPr>
              <w:rPr>
                <w:color w:val="auto"/>
                <w:sz w:val="20"/>
                <w:szCs w:val="20"/>
              </w:rPr>
            </w:pPr>
            <w:r w:rsidRPr="00CE1D35">
              <w:rPr>
                <w:color w:val="auto"/>
                <w:sz w:val="20"/>
                <w:szCs w:val="20"/>
              </w:rPr>
              <w:t xml:space="preserve">Include local communities in identifying what makes a place special or unique and consider how forest design can conserve and emphasise these qualities, rather than detract from them. </w:t>
            </w:r>
          </w:p>
        </w:tc>
      </w:tr>
      <w:tr w:rsidR="004326C7" w:rsidRPr="00CE1D35" w14:paraId="4D28E399" w14:textId="77777777" w:rsidTr="00885088">
        <w:trPr>
          <w:trHeight w:val="1302"/>
        </w:trPr>
        <w:tc>
          <w:tcPr>
            <w:tcW w:w="846" w:type="dxa"/>
          </w:tcPr>
          <w:p w14:paraId="2ED816C7" w14:textId="5B08B66A" w:rsidR="004326C7" w:rsidRPr="00CE1D35" w:rsidRDefault="004326C7" w:rsidP="004326C7">
            <w:pPr>
              <w:rPr>
                <w:sz w:val="20"/>
                <w:szCs w:val="20"/>
              </w:rPr>
            </w:pPr>
            <w:r w:rsidRPr="00CE1D35">
              <w:rPr>
                <w:sz w:val="20"/>
                <w:szCs w:val="20"/>
              </w:rPr>
              <w:t>137</w:t>
            </w:r>
          </w:p>
        </w:tc>
        <w:tc>
          <w:tcPr>
            <w:tcW w:w="3969" w:type="dxa"/>
          </w:tcPr>
          <w:p w14:paraId="32EEA378" w14:textId="54FD063F" w:rsidR="004326C7" w:rsidRPr="00CE1D35" w:rsidRDefault="004326C7" w:rsidP="004326C7">
            <w:pPr>
              <w:rPr>
                <w:sz w:val="20"/>
                <w:szCs w:val="20"/>
              </w:rPr>
            </w:pPr>
            <w:r w:rsidRPr="00CE1D35">
              <w:rPr>
                <w:sz w:val="20"/>
                <w:szCs w:val="20"/>
              </w:rPr>
              <w:t>Where uses of woodland are established by long tradition they should be respected and allowed to continue, providing the use is sustainable and not detrimental to management objectives.</w:t>
            </w:r>
          </w:p>
        </w:tc>
        <w:tc>
          <w:tcPr>
            <w:tcW w:w="4201" w:type="dxa"/>
          </w:tcPr>
          <w:p w14:paraId="0801EE8A" w14:textId="3C87DBE8" w:rsidR="004326C7" w:rsidRPr="00CE1D35" w:rsidRDefault="004326C7" w:rsidP="004326C7">
            <w:pPr>
              <w:rPr>
                <w:color w:val="auto"/>
                <w:sz w:val="20"/>
                <w:szCs w:val="20"/>
              </w:rPr>
            </w:pPr>
            <w:r w:rsidRPr="00CE1D35">
              <w:rPr>
                <w:color w:val="auto"/>
                <w:sz w:val="20"/>
                <w:szCs w:val="20"/>
              </w:rPr>
              <w:t xml:space="preserve">Where uses of woodland are established by long tradition they must be respected and allowed to continue, providing the use is sustainable and not detrimental to management objectives. </w:t>
            </w:r>
          </w:p>
        </w:tc>
      </w:tr>
      <w:tr w:rsidR="004326C7" w:rsidRPr="00CE1D35" w14:paraId="1372B419" w14:textId="77777777" w:rsidTr="00D55D9B">
        <w:tc>
          <w:tcPr>
            <w:tcW w:w="846" w:type="dxa"/>
          </w:tcPr>
          <w:p w14:paraId="34B038A7" w14:textId="57BBFB34" w:rsidR="004326C7" w:rsidRPr="00CE1D35" w:rsidRDefault="004326C7" w:rsidP="004326C7">
            <w:pPr>
              <w:rPr>
                <w:sz w:val="20"/>
                <w:szCs w:val="20"/>
              </w:rPr>
            </w:pPr>
            <w:r w:rsidRPr="00CE1D35">
              <w:rPr>
                <w:sz w:val="20"/>
                <w:szCs w:val="20"/>
              </w:rPr>
              <w:t>137</w:t>
            </w:r>
          </w:p>
        </w:tc>
        <w:tc>
          <w:tcPr>
            <w:tcW w:w="3969" w:type="dxa"/>
          </w:tcPr>
          <w:p w14:paraId="677A30DD" w14:textId="50658619" w:rsidR="004326C7" w:rsidRPr="00CE1D35" w:rsidRDefault="004326C7" w:rsidP="004326C7">
            <w:pPr>
              <w:rPr>
                <w:sz w:val="20"/>
                <w:szCs w:val="20"/>
              </w:rPr>
            </w:pPr>
            <w:r w:rsidRPr="00CE1D35">
              <w:rPr>
                <w:sz w:val="20"/>
                <w:szCs w:val="20"/>
              </w:rPr>
              <w:t>Consideration should be given to involving people in the development of forestry proposals who     have a recognisable interest in the proposal or its outcomes.</w:t>
            </w:r>
          </w:p>
        </w:tc>
        <w:tc>
          <w:tcPr>
            <w:tcW w:w="4201" w:type="dxa"/>
          </w:tcPr>
          <w:p w14:paraId="55B17217" w14:textId="2B229610" w:rsidR="004326C7" w:rsidRPr="00CE1D35" w:rsidRDefault="004326C7" w:rsidP="004326C7">
            <w:pPr>
              <w:rPr>
                <w:color w:val="auto"/>
                <w:sz w:val="20"/>
                <w:szCs w:val="20"/>
              </w:rPr>
            </w:pPr>
            <w:r w:rsidRPr="00CE1D35">
              <w:rPr>
                <w:color w:val="auto"/>
                <w:sz w:val="20"/>
                <w:szCs w:val="20"/>
              </w:rPr>
              <w:t>Local people must be given the opportunity to be involved in the development of forestry proposals and their outcomes</w:t>
            </w:r>
          </w:p>
        </w:tc>
      </w:tr>
      <w:tr w:rsidR="004326C7" w:rsidRPr="00CE1D35" w14:paraId="7DF19D2F" w14:textId="77777777" w:rsidTr="00D55D9B">
        <w:tc>
          <w:tcPr>
            <w:tcW w:w="846" w:type="dxa"/>
          </w:tcPr>
          <w:p w14:paraId="3273F175" w14:textId="33FB4292" w:rsidR="004326C7" w:rsidRPr="00CE1D35" w:rsidRDefault="004326C7" w:rsidP="004326C7">
            <w:pPr>
              <w:rPr>
                <w:sz w:val="20"/>
                <w:szCs w:val="20"/>
              </w:rPr>
            </w:pPr>
            <w:r w:rsidRPr="00CE1D35">
              <w:rPr>
                <w:sz w:val="20"/>
                <w:szCs w:val="20"/>
              </w:rPr>
              <w:t>137</w:t>
            </w:r>
          </w:p>
        </w:tc>
        <w:tc>
          <w:tcPr>
            <w:tcW w:w="3969" w:type="dxa"/>
          </w:tcPr>
          <w:p w14:paraId="2502EF32" w14:textId="2C3ECFC7" w:rsidR="004326C7" w:rsidRPr="00CE1D35" w:rsidRDefault="004326C7" w:rsidP="004326C7">
            <w:pPr>
              <w:rPr>
                <w:sz w:val="20"/>
                <w:szCs w:val="20"/>
              </w:rPr>
            </w:pPr>
            <w:r w:rsidRPr="00CE1D35">
              <w:rPr>
                <w:sz w:val="20"/>
                <w:szCs w:val="20"/>
              </w:rPr>
              <w:t xml:space="preserve">Consideration should be given to promoting and facilitating local forest and woodland- based enterprises and economic activities.   </w:t>
            </w:r>
          </w:p>
        </w:tc>
        <w:tc>
          <w:tcPr>
            <w:tcW w:w="4201" w:type="dxa"/>
          </w:tcPr>
          <w:p w14:paraId="7C9F14E5" w14:textId="1AAC95BB" w:rsidR="004326C7" w:rsidRPr="00CE1D35" w:rsidRDefault="004326C7" w:rsidP="004326C7">
            <w:pPr>
              <w:rPr>
                <w:color w:val="auto"/>
                <w:sz w:val="20"/>
                <w:szCs w:val="20"/>
              </w:rPr>
            </w:pPr>
            <w:r w:rsidRPr="00CE1D35">
              <w:rPr>
                <w:color w:val="auto"/>
                <w:sz w:val="20"/>
                <w:szCs w:val="20"/>
              </w:rPr>
              <w:t>Opportunities to promote and facilitate local forest and woodland- based enterprises and economic activities should be explored.</w:t>
            </w:r>
          </w:p>
        </w:tc>
      </w:tr>
      <w:tr w:rsidR="004326C7" w:rsidRPr="00CE1D35" w14:paraId="1FB521A0" w14:textId="77777777" w:rsidTr="00D55D9B">
        <w:tc>
          <w:tcPr>
            <w:tcW w:w="846" w:type="dxa"/>
          </w:tcPr>
          <w:p w14:paraId="392807FD" w14:textId="4DE2A531" w:rsidR="004326C7" w:rsidRPr="00CE1D35" w:rsidRDefault="004326C7" w:rsidP="004326C7">
            <w:pPr>
              <w:rPr>
                <w:sz w:val="20"/>
                <w:szCs w:val="20"/>
              </w:rPr>
            </w:pPr>
            <w:r w:rsidRPr="00CE1D35">
              <w:rPr>
                <w:sz w:val="20"/>
                <w:szCs w:val="20"/>
              </w:rPr>
              <w:t>138</w:t>
            </w:r>
          </w:p>
        </w:tc>
        <w:tc>
          <w:tcPr>
            <w:tcW w:w="3969" w:type="dxa"/>
          </w:tcPr>
          <w:p w14:paraId="4FC74EC0" w14:textId="2DD8D6BC" w:rsidR="004326C7" w:rsidRPr="00CE1D35" w:rsidRDefault="004326C7" w:rsidP="004326C7">
            <w:pPr>
              <w:rPr>
                <w:rFonts w:eastAsia="Times New Roman"/>
                <w:sz w:val="20"/>
                <w:szCs w:val="20"/>
                <w:lang w:eastAsia="en-GB"/>
              </w:rPr>
            </w:pPr>
            <w:r w:rsidRPr="00CE1D35">
              <w:rPr>
                <w:rFonts w:eastAsia="Times New Roman"/>
                <w:sz w:val="20"/>
                <w:szCs w:val="20"/>
                <w:lang w:eastAsia="en-GB"/>
              </w:rPr>
              <w:t xml:space="preserve">Local people and interested parties can offer valuable knowledge and insights that can be of great assistance when formulating forest management proposals. </w:t>
            </w:r>
          </w:p>
        </w:tc>
        <w:tc>
          <w:tcPr>
            <w:tcW w:w="4201" w:type="dxa"/>
          </w:tcPr>
          <w:p w14:paraId="2C24ED6C" w14:textId="7E888FAD" w:rsidR="004326C7" w:rsidRPr="00CE1D35" w:rsidRDefault="004326C7" w:rsidP="004326C7">
            <w:pPr>
              <w:rPr>
                <w:rFonts w:eastAsia="Times New Roman"/>
                <w:color w:val="auto"/>
                <w:sz w:val="20"/>
                <w:szCs w:val="20"/>
                <w:lang w:eastAsia="en-GB"/>
              </w:rPr>
            </w:pPr>
            <w:r w:rsidRPr="00CE1D35">
              <w:rPr>
                <w:rFonts w:eastAsia="Times New Roman"/>
                <w:color w:val="auto"/>
                <w:sz w:val="20"/>
                <w:szCs w:val="20"/>
                <w:lang w:eastAsia="en-GB"/>
              </w:rPr>
              <w:t xml:space="preserve">Local people and interested parties can offer valuable knowledge and insights that can be of great assistance when formulating forest management proposals and woodland creation schemes. </w:t>
            </w:r>
          </w:p>
        </w:tc>
      </w:tr>
      <w:tr w:rsidR="004326C7" w:rsidRPr="00CE1D35" w14:paraId="5005CFFF" w14:textId="77777777" w:rsidTr="00D55D9B">
        <w:tc>
          <w:tcPr>
            <w:tcW w:w="846" w:type="dxa"/>
          </w:tcPr>
          <w:p w14:paraId="02D7C55B" w14:textId="0CE8A469" w:rsidR="004326C7" w:rsidRPr="00CE1D35" w:rsidRDefault="004326C7" w:rsidP="004326C7">
            <w:pPr>
              <w:rPr>
                <w:sz w:val="20"/>
                <w:szCs w:val="20"/>
              </w:rPr>
            </w:pPr>
            <w:r w:rsidRPr="00CE1D35">
              <w:rPr>
                <w:sz w:val="20"/>
                <w:szCs w:val="20"/>
              </w:rPr>
              <w:t>138</w:t>
            </w:r>
          </w:p>
        </w:tc>
        <w:tc>
          <w:tcPr>
            <w:tcW w:w="3969" w:type="dxa"/>
          </w:tcPr>
          <w:p w14:paraId="2ABAD973" w14:textId="07257881" w:rsidR="004326C7" w:rsidRPr="00CE1D35" w:rsidRDefault="004326C7" w:rsidP="00885088">
            <w:pPr>
              <w:pStyle w:val="NormalWeb"/>
              <w:rPr>
                <w:rFonts w:asciiTheme="minorHAnsi" w:hAnsiTheme="minorHAnsi" w:cstheme="minorHAnsi"/>
                <w:sz w:val="20"/>
                <w:szCs w:val="20"/>
              </w:rPr>
            </w:pPr>
            <w:r w:rsidRPr="00CE1D35">
              <w:rPr>
                <w:rFonts w:asciiTheme="minorHAnsi" w:hAnsiTheme="minorHAnsi" w:cstheme="minorHAnsi"/>
                <w:sz w:val="20"/>
                <w:szCs w:val="20"/>
              </w:rPr>
              <w:t xml:space="preserve">Consider engaging with the local community by seeking their views, developing proposals that are responsive to them and building co-operative partnerships.  </w:t>
            </w:r>
          </w:p>
        </w:tc>
        <w:tc>
          <w:tcPr>
            <w:tcW w:w="4201" w:type="dxa"/>
          </w:tcPr>
          <w:p w14:paraId="5D34DCC1" w14:textId="0DCC7FF8" w:rsidR="004326C7" w:rsidRPr="00CE1D35" w:rsidRDefault="004326C7" w:rsidP="004326C7">
            <w:pPr>
              <w:rPr>
                <w:color w:val="auto"/>
                <w:sz w:val="20"/>
                <w:szCs w:val="20"/>
              </w:rPr>
            </w:pPr>
            <w:r w:rsidRPr="00CE1D35">
              <w:rPr>
                <w:color w:val="auto"/>
                <w:sz w:val="20"/>
                <w:szCs w:val="20"/>
              </w:rPr>
              <w:t>Engage with the local community by seeking their views, developing proposals that are responsive to them and building co-operative partnerships.</w:t>
            </w:r>
          </w:p>
        </w:tc>
      </w:tr>
      <w:tr w:rsidR="004326C7" w:rsidRPr="00CE1D35" w14:paraId="1F9BCB24" w14:textId="77777777" w:rsidTr="00D55D9B">
        <w:tc>
          <w:tcPr>
            <w:tcW w:w="846" w:type="dxa"/>
          </w:tcPr>
          <w:p w14:paraId="6B9B2116" w14:textId="5FDA602E" w:rsidR="004326C7" w:rsidRPr="00CE1D35" w:rsidRDefault="004326C7" w:rsidP="004326C7">
            <w:pPr>
              <w:rPr>
                <w:sz w:val="20"/>
                <w:szCs w:val="20"/>
              </w:rPr>
            </w:pPr>
            <w:r w:rsidRPr="00CE1D35">
              <w:rPr>
                <w:sz w:val="20"/>
                <w:szCs w:val="20"/>
              </w:rPr>
              <w:t>138</w:t>
            </w:r>
          </w:p>
        </w:tc>
        <w:tc>
          <w:tcPr>
            <w:tcW w:w="3969" w:type="dxa"/>
          </w:tcPr>
          <w:p w14:paraId="3951430D" w14:textId="23FAC5DC" w:rsidR="004326C7" w:rsidRPr="00CE1D35" w:rsidRDefault="004326C7" w:rsidP="004326C7">
            <w:pPr>
              <w:pStyle w:val="NormalWeb"/>
              <w:rPr>
                <w:rFonts w:asciiTheme="minorHAnsi" w:hAnsiTheme="minorHAnsi" w:cstheme="minorHAnsi"/>
                <w:sz w:val="20"/>
                <w:szCs w:val="20"/>
              </w:rPr>
            </w:pPr>
            <w:r w:rsidRPr="00CE1D35">
              <w:rPr>
                <w:rFonts w:asciiTheme="minorHAnsi" w:hAnsiTheme="minorHAnsi" w:cstheme="minorHAnsi"/>
                <w:sz w:val="20"/>
                <w:szCs w:val="20"/>
              </w:rPr>
              <w:t xml:space="preserve">as part of the forest planning process, consider which individuals and organisations from all groups in society may have an interest in the formulation of forest management proposals, or something to contribute.  </w:t>
            </w:r>
          </w:p>
        </w:tc>
        <w:tc>
          <w:tcPr>
            <w:tcW w:w="4201" w:type="dxa"/>
          </w:tcPr>
          <w:p w14:paraId="7D862DE6" w14:textId="66855233" w:rsidR="004326C7" w:rsidRPr="00CE1D35" w:rsidRDefault="004326C7" w:rsidP="004326C7">
            <w:pPr>
              <w:rPr>
                <w:color w:val="auto"/>
                <w:sz w:val="20"/>
                <w:szCs w:val="20"/>
              </w:rPr>
            </w:pPr>
            <w:r w:rsidRPr="00CE1D35">
              <w:rPr>
                <w:color w:val="auto"/>
                <w:sz w:val="20"/>
                <w:szCs w:val="20"/>
              </w:rPr>
              <w:t>as part of the forest planning process, identify which individuals and organisations from all groups in society may have an interest in the formulation of forest management proposals, or something to contribute.</w:t>
            </w:r>
          </w:p>
        </w:tc>
      </w:tr>
      <w:tr w:rsidR="004326C7" w:rsidRPr="00CE1D35" w14:paraId="3C532C66" w14:textId="77777777" w:rsidTr="00D55D9B">
        <w:tc>
          <w:tcPr>
            <w:tcW w:w="846" w:type="dxa"/>
          </w:tcPr>
          <w:p w14:paraId="46FC7859" w14:textId="4A43DB5D" w:rsidR="004326C7" w:rsidRPr="00CE1D35" w:rsidRDefault="004326C7" w:rsidP="004326C7">
            <w:pPr>
              <w:rPr>
                <w:sz w:val="20"/>
                <w:szCs w:val="20"/>
              </w:rPr>
            </w:pPr>
            <w:r w:rsidRPr="00CE1D35">
              <w:rPr>
                <w:sz w:val="20"/>
                <w:szCs w:val="20"/>
              </w:rPr>
              <w:t>138</w:t>
            </w:r>
          </w:p>
        </w:tc>
        <w:tc>
          <w:tcPr>
            <w:tcW w:w="3969" w:type="dxa"/>
          </w:tcPr>
          <w:p w14:paraId="5EA1D535" w14:textId="2C118482" w:rsidR="004326C7" w:rsidRPr="00CE1D35" w:rsidRDefault="004326C7" w:rsidP="004326C7">
            <w:pPr>
              <w:pStyle w:val="NormalWeb"/>
              <w:rPr>
                <w:rFonts w:asciiTheme="minorHAnsi" w:hAnsiTheme="minorHAnsi" w:cstheme="minorHAnsi"/>
                <w:sz w:val="20"/>
                <w:szCs w:val="20"/>
              </w:rPr>
            </w:pPr>
            <w:r w:rsidRPr="00CE1D35">
              <w:rPr>
                <w:rFonts w:asciiTheme="minorHAnsi" w:hAnsiTheme="minorHAnsi" w:cstheme="minorHAnsi"/>
                <w:sz w:val="20"/>
                <w:szCs w:val="20"/>
              </w:rPr>
              <w:t>aim to communicate forestry proposals and their operational impacts clearly; consider presenting several options and try to accommodate local needs where they are compatible with management objectives.</w:t>
            </w:r>
          </w:p>
        </w:tc>
        <w:tc>
          <w:tcPr>
            <w:tcW w:w="4201" w:type="dxa"/>
          </w:tcPr>
          <w:p w14:paraId="017D3B28" w14:textId="34B1C9D3" w:rsidR="004326C7" w:rsidRPr="00CE1D35" w:rsidRDefault="004326C7" w:rsidP="004326C7">
            <w:pPr>
              <w:rPr>
                <w:color w:val="auto"/>
                <w:sz w:val="20"/>
                <w:szCs w:val="20"/>
              </w:rPr>
            </w:pPr>
            <w:r w:rsidRPr="00CE1D35">
              <w:rPr>
                <w:color w:val="auto"/>
                <w:sz w:val="20"/>
                <w:szCs w:val="20"/>
              </w:rPr>
              <w:t>Communicate forestry proposals and their operational impacts clearly; consider presenting several options and try to accommodate local needs where they are compatible with management objectives.</w:t>
            </w:r>
          </w:p>
        </w:tc>
      </w:tr>
      <w:tr w:rsidR="004326C7" w:rsidRPr="00CE1D35" w14:paraId="67F0ACAB" w14:textId="77777777" w:rsidTr="00D55D9B">
        <w:tc>
          <w:tcPr>
            <w:tcW w:w="846" w:type="dxa"/>
          </w:tcPr>
          <w:p w14:paraId="733AA657" w14:textId="4B1C189F" w:rsidR="004326C7" w:rsidRPr="00CE1D35" w:rsidRDefault="004326C7" w:rsidP="004326C7">
            <w:pPr>
              <w:rPr>
                <w:sz w:val="20"/>
                <w:szCs w:val="20"/>
              </w:rPr>
            </w:pPr>
            <w:r w:rsidRPr="00CE1D35">
              <w:rPr>
                <w:sz w:val="20"/>
                <w:szCs w:val="20"/>
              </w:rPr>
              <w:t>138</w:t>
            </w:r>
          </w:p>
        </w:tc>
        <w:tc>
          <w:tcPr>
            <w:tcW w:w="3969" w:type="dxa"/>
          </w:tcPr>
          <w:p w14:paraId="2C0C47C6" w14:textId="5CF8D4D9" w:rsidR="004326C7" w:rsidRPr="00CE1D35" w:rsidRDefault="004326C7" w:rsidP="004326C7">
            <w:pPr>
              <w:pStyle w:val="NormalWeb"/>
              <w:rPr>
                <w:rFonts w:asciiTheme="minorHAnsi" w:hAnsiTheme="minorHAnsi" w:cstheme="minorHAnsi"/>
                <w:sz w:val="20"/>
                <w:szCs w:val="20"/>
              </w:rPr>
            </w:pPr>
            <w:r w:rsidRPr="00CE1D35">
              <w:rPr>
                <w:rFonts w:asciiTheme="minorHAnsi" w:hAnsiTheme="minorHAnsi" w:cstheme="minorHAnsi"/>
                <w:sz w:val="20"/>
                <w:szCs w:val="20"/>
              </w:rPr>
              <w:t>Consider the cultural significance of woodland features, taking account of local opinion, and develop measures to protect important features in forest management plans.</w:t>
            </w:r>
          </w:p>
        </w:tc>
        <w:tc>
          <w:tcPr>
            <w:tcW w:w="4201" w:type="dxa"/>
          </w:tcPr>
          <w:p w14:paraId="6E2A4D9F" w14:textId="4F59D0F9" w:rsidR="004326C7" w:rsidRPr="00CE1D35" w:rsidRDefault="004326C7" w:rsidP="004326C7">
            <w:pPr>
              <w:pStyle w:val="NormalWeb"/>
              <w:rPr>
                <w:rFonts w:asciiTheme="minorHAnsi" w:hAnsiTheme="minorHAnsi" w:cstheme="minorHAnsi"/>
                <w:sz w:val="20"/>
                <w:szCs w:val="20"/>
              </w:rPr>
            </w:pPr>
            <w:r w:rsidRPr="00CE1D35">
              <w:rPr>
                <w:rFonts w:asciiTheme="minorHAnsi" w:hAnsiTheme="minorHAnsi" w:cstheme="minorHAnsi"/>
                <w:sz w:val="20"/>
                <w:szCs w:val="20"/>
              </w:rPr>
              <w:t xml:space="preserve">Ascertain the cultural significance of woodland features, taking account of local opinion, and develop measures to protect important features in forest management plans. </w:t>
            </w:r>
          </w:p>
        </w:tc>
      </w:tr>
      <w:tr w:rsidR="004326C7" w:rsidRPr="00CE1D35" w14:paraId="5B0FF4AE" w14:textId="77777777" w:rsidTr="00D55D9B">
        <w:tc>
          <w:tcPr>
            <w:tcW w:w="846" w:type="dxa"/>
          </w:tcPr>
          <w:p w14:paraId="77F86D4F" w14:textId="2CEFC592" w:rsidR="004326C7" w:rsidRPr="00CE1D35" w:rsidRDefault="004326C7" w:rsidP="004326C7">
            <w:pPr>
              <w:rPr>
                <w:sz w:val="20"/>
                <w:szCs w:val="20"/>
              </w:rPr>
            </w:pPr>
            <w:r w:rsidRPr="00CE1D35">
              <w:rPr>
                <w:sz w:val="20"/>
                <w:szCs w:val="20"/>
              </w:rPr>
              <w:t>139</w:t>
            </w:r>
          </w:p>
        </w:tc>
        <w:tc>
          <w:tcPr>
            <w:tcW w:w="3969" w:type="dxa"/>
          </w:tcPr>
          <w:p w14:paraId="10867500" w14:textId="033AB2C2" w:rsidR="004326C7" w:rsidRPr="00CE1D35" w:rsidRDefault="004326C7" w:rsidP="004326C7">
            <w:pPr>
              <w:pStyle w:val="NormalWeb"/>
              <w:rPr>
                <w:rFonts w:asciiTheme="minorHAnsi" w:hAnsiTheme="minorHAnsi" w:cstheme="minorHAnsi"/>
                <w:sz w:val="20"/>
                <w:szCs w:val="20"/>
              </w:rPr>
            </w:pPr>
            <w:r w:rsidRPr="00CE1D35">
              <w:rPr>
                <w:rFonts w:asciiTheme="minorHAnsi" w:eastAsia="Times New Roman" w:hAnsiTheme="minorHAnsi" w:cstheme="minorHAnsi"/>
                <w:sz w:val="20"/>
                <w:szCs w:val="20"/>
              </w:rPr>
              <w:t xml:space="preserve">Consider increasing public access to forests and options for how this could be achieved. </w:t>
            </w:r>
          </w:p>
        </w:tc>
        <w:tc>
          <w:tcPr>
            <w:tcW w:w="4201" w:type="dxa"/>
          </w:tcPr>
          <w:p w14:paraId="114339E0" w14:textId="7DE875A5" w:rsidR="004326C7" w:rsidRPr="00CE1D35" w:rsidRDefault="004326C7" w:rsidP="004326C7">
            <w:pPr>
              <w:rPr>
                <w:color w:val="auto"/>
                <w:sz w:val="20"/>
                <w:szCs w:val="20"/>
              </w:rPr>
            </w:pPr>
            <w:r w:rsidRPr="00CE1D35">
              <w:rPr>
                <w:rFonts w:eastAsia="Times New Roman"/>
                <w:color w:val="auto"/>
                <w:sz w:val="20"/>
                <w:szCs w:val="20"/>
                <w:lang w:eastAsia="en-GB"/>
              </w:rPr>
              <w:t>Pro-actively attempt to increase public access to forests and explore options for how this could be achieved.</w:t>
            </w:r>
          </w:p>
        </w:tc>
      </w:tr>
      <w:tr w:rsidR="004326C7" w:rsidRPr="00CE1D35" w14:paraId="5C205698" w14:textId="77777777" w:rsidTr="00D55D9B">
        <w:tc>
          <w:tcPr>
            <w:tcW w:w="846" w:type="dxa"/>
          </w:tcPr>
          <w:p w14:paraId="34CBF337" w14:textId="4E3CB161" w:rsidR="004326C7" w:rsidRPr="00CE1D35" w:rsidRDefault="004326C7" w:rsidP="004326C7">
            <w:pPr>
              <w:rPr>
                <w:sz w:val="20"/>
                <w:szCs w:val="20"/>
              </w:rPr>
            </w:pPr>
            <w:r w:rsidRPr="00CE1D35">
              <w:rPr>
                <w:sz w:val="20"/>
                <w:szCs w:val="20"/>
              </w:rPr>
              <w:t>141</w:t>
            </w:r>
          </w:p>
        </w:tc>
        <w:tc>
          <w:tcPr>
            <w:tcW w:w="3969" w:type="dxa"/>
          </w:tcPr>
          <w:p w14:paraId="0F3E5349" w14:textId="096DBB3F" w:rsidR="004326C7" w:rsidRPr="00CE1D35" w:rsidRDefault="004326C7" w:rsidP="004326C7">
            <w:pPr>
              <w:pStyle w:val="NormalWeb"/>
              <w:rPr>
                <w:rFonts w:asciiTheme="minorHAnsi" w:hAnsiTheme="minorHAnsi" w:cstheme="minorHAnsi"/>
                <w:sz w:val="20"/>
                <w:szCs w:val="20"/>
              </w:rPr>
            </w:pPr>
            <w:r w:rsidRPr="00CE1D35">
              <w:rPr>
                <w:rFonts w:asciiTheme="minorHAnsi" w:hAnsiTheme="minorHAnsi" w:cstheme="minorHAnsi"/>
                <w:sz w:val="20"/>
                <w:szCs w:val="20"/>
              </w:rPr>
              <w:t xml:space="preserve">Consider providing facilities for public recreation within forests and woodlands and how these can be managed. </w:t>
            </w:r>
          </w:p>
        </w:tc>
        <w:tc>
          <w:tcPr>
            <w:tcW w:w="4201" w:type="dxa"/>
          </w:tcPr>
          <w:p w14:paraId="650DC3E0" w14:textId="51B50DAB" w:rsidR="004326C7" w:rsidRPr="00CE1D35" w:rsidRDefault="004326C7" w:rsidP="004326C7">
            <w:pPr>
              <w:rPr>
                <w:color w:val="auto"/>
                <w:sz w:val="20"/>
                <w:szCs w:val="20"/>
              </w:rPr>
            </w:pPr>
            <w:r w:rsidRPr="00CE1D35">
              <w:rPr>
                <w:color w:val="auto"/>
                <w:sz w:val="20"/>
                <w:szCs w:val="20"/>
              </w:rPr>
              <w:t>Wherever possible, provide facilities for public recreation within forests and woodlands and consider how these can be managed.</w:t>
            </w:r>
          </w:p>
        </w:tc>
      </w:tr>
      <w:tr w:rsidR="004326C7" w:rsidRPr="00CE1D35" w14:paraId="7672B9E4" w14:textId="77777777" w:rsidTr="00D55D9B">
        <w:tc>
          <w:tcPr>
            <w:tcW w:w="846" w:type="dxa"/>
          </w:tcPr>
          <w:p w14:paraId="669352F7" w14:textId="513DC0E6" w:rsidR="004326C7" w:rsidRPr="00CE1D35" w:rsidRDefault="004326C7" w:rsidP="004326C7">
            <w:pPr>
              <w:rPr>
                <w:sz w:val="20"/>
                <w:szCs w:val="20"/>
              </w:rPr>
            </w:pPr>
            <w:r w:rsidRPr="00CE1D35">
              <w:rPr>
                <w:sz w:val="20"/>
                <w:szCs w:val="20"/>
              </w:rPr>
              <w:lastRenderedPageBreak/>
              <w:t>141</w:t>
            </w:r>
          </w:p>
        </w:tc>
        <w:tc>
          <w:tcPr>
            <w:tcW w:w="3969" w:type="dxa"/>
          </w:tcPr>
          <w:p w14:paraId="3CE2BC8D" w14:textId="58B8F35A" w:rsidR="004326C7" w:rsidRPr="00CE1D35" w:rsidRDefault="004326C7" w:rsidP="004326C7">
            <w:pPr>
              <w:pStyle w:val="NormalWeb"/>
              <w:rPr>
                <w:rFonts w:asciiTheme="minorHAnsi" w:hAnsiTheme="minorHAnsi" w:cstheme="minorHAnsi"/>
                <w:sz w:val="20"/>
                <w:szCs w:val="20"/>
              </w:rPr>
            </w:pPr>
            <w:r w:rsidRPr="00CE1D35">
              <w:rPr>
                <w:rFonts w:asciiTheme="minorHAnsi" w:hAnsiTheme="minorHAnsi" w:cstheme="minorHAnsi"/>
                <w:sz w:val="20"/>
                <w:szCs w:val="20"/>
              </w:rPr>
              <w:t xml:space="preserve">Consider developing partnerships with health interests to establish and promote forest  recreation activities in relation to health and well-being. </w:t>
            </w:r>
          </w:p>
        </w:tc>
        <w:tc>
          <w:tcPr>
            <w:tcW w:w="4201" w:type="dxa"/>
          </w:tcPr>
          <w:p w14:paraId="6168397F" w14:textId="4A5CAE8B" w:rsidR="004326C7" w:rsidRPr="00CE1D35" w:rsidRDefault="004326C7" w:rsidP="004326C7">
            <w:pPr>
              <w:rPr>
                <w:color w:val="auto"/>
                <w:sz w:val="20"/>
                <w:szCs w:val="20"/>
              </w:rPr>
            </w:pPr>
            <w:r w:rsidRPr="00CE1D35">
              <w:rPr>
                <w:color w:val="auto"/>
                <w:sz w:val="20"/>
                <w:szCs w:val="20"/>
              </w:rPr>
              <w:t>Wherever possible develop partnerships with health interests to establish and promote forest recreation activities in relation to health and well-being.</w:t>
            </w:r>
          </w:p>
        </w:tc>
      </w:tr>
      <w:tr w:rsidR="004326C7" w:rsidRPr="00CE1D35" w14:paraId="4C8CB630" w14:textId="77777777" w:rsidTr="00D55D9B">
        <w:tc>
          <w:tcPr>
            <w:tcW w:w="846" w:type="dxa"/>
          </w:tcPr>
          <w:p w14:paraId="4792034F" w14:textId="43167E05" w:rsidR="004326C7" w:rsidRPr="00CE1D35" w:rsidRDefault="004326C7" w:rsidP="004326C7">
            <w:pPr>
              <w:rPr>
                <w:sz w:val="20"/>
                <w:szCs w:val="20"/>
              </w:rPr>
            </w:pPr>
            <w:r w:rsidRPr="00CE1D35">
              <w:rPr>
                <w:sz w:val="20"/>
                <w:szCs w:val="20"/>
              </w:rPr>
              <w:t>141</w:t>
            </w:r>
          </w:p>
        </w:tc>
        <w:tc>
          <w:tcPr>
            <w:tcW w:w="3969" w:type="dxa"/>
          </w:tcPr>
          <w:p w14:paraId="4795BC99" w14:textId="475AF0A0" w:rsidR="004326C7" w:rsidRPr="00CE1D35" w:rsidRDefault="004326C7" w:rsidP="004326C7">
            <w:pPr>
              <w:pStyle w:val="NormalWeb"/>
              <w:rPr>
                <w:rFonts w:asciiTheme="minorHAnsi" w:hAnsiTheme="minorHAnsi" w:cstheme="minorHAnsi"/>
                <w:sz w:val="20"/>
                <w:szCs w:val="20"/>
              </w:rPr>
            </w:pPr>
            <w:r w:rsidRPr="00CE1D35">
              <w:rPr>
                <w:rFonts w:asciiTheme="minorHAnsi" w:hAnsiTheme="minorHAnsi" w:cstheme="minorHAnsi"/>
                <w:sz w:val="20"/>
                <w:szCs w:val="20"/>
              </w:rPr>
              <w:t xml:space="preserve">Consider permitting the use of forests for sustainable low-key community uses, especially where such uses are linked to cultural activities or are established by tradition. </w:t>
            </w:r>
          </w:p>
        </w:tc>
        <w:tc>
          <w:tcPr>
            <w:tcW w:w="4201" w:type="dxa"/>
          </w:tcPr>
          <w:p w14:paraId="56711DAF" w14:textId="06CDF5BB" w:rsidR="004326C7" w:rsidRPr="00CE1D35" w:rsidRDefault="004326C7" w:rsidP="004326C7">
            <w:pPr>
              <w:rPr>
                <w:color w:val="auto"/>
                <w:sz w:val="20"/>
                <w:szCs w:val="20"/>
              </w:rPr>
            </w:pPr>
            <w:r w:rsidRPr="00CE1D35">
              <w:rPr>
                <w:color w:val="auto"/>
                <w:sz w:val="20"/>
                <w:szCs w:val="20"/>
              </w:rPr>
              <w:t>Encourage the use of forests for sustainable low-key community uses, especially where such uses are linked to cultural activities or are established by tradition.</w:t>
            </w:r>
          </w:p>
        </w:tc>
      </w:tr>
      <w:tr w:rsidR="004326C7" w:rsidRPr="00CE1D35" w14:paraId="56D8250F" w14:textId="77777777" w:rsidTr="00D55D9B">
        <w:tc>
          <w:tcPr>
            <w:tcW w:w="846" w:type="dxa"/>
          </w:tcPr>
          <w:p w14:paraId="087250FB" w14:textId="3EA74764" w:rsidR="004326C7" w:rsidRPr="00CE1D35" w:rsidRDefault="004326C7" w:rsidP="004326C7">
            <w:pPr>
              <w:rPr>
                <w:sz w:val="20"/>
                <w:szCs w:val="20"/>
              </w:rPr>
            </w:pPr>
            <w:r w:rsidRPr="00CE1D35">
              <w:rPr>
                <w:sz w:val="20"/>
                <w:szCs w:val="20"/>
              </w:rPr>
              <w:t>142</w:t>
            </w:r>
          </w:p>
        </w:tc>
        <w:tc>
          <w:tcPr>
            <w:tcW w:w="3969" w:type="dxa"/>
          </w:tcPr>
          <w:p w14:paraId="249970C5" w14:textId="326A9900" w:rsidR="004326C7" w:rsidRPr="00CE1D35" w:rsidRDefault="004326C7" w:rsidP="004326C7">
            <w:pPr>
              <w:pStyle w:val="NormalWeb"/>
              <w:rPr>
                <w:rFonts w:asciiTheme="minorHAnsi" w:hAnsiTheme="minorHAnsi" w:cstheme="minorHAnsi"/>
                <w:sz w:val="20"/>
                <w:szCs w:val="20"/>
              </w:rPr>
            </w:pPr>
            <w:r w:rsidRPr="00CE1D35">
              <w:rPr>
                <w:rFonts w:asciiTheme="minorHAnsi" w:hAnsiTheme="minorHAnsi" w:cstheme="minorHAnsi"/>
                <w:sz w:val="20"/>
                <w:szCs w:val="20"/>
              </w:rPr>
              <w:t xml:space="preserve">Consider providing, or encouraging others to provide, educational interpretation for visitors – especially if a particular wood has distinctive ecological, historical or cultural features. </w:t>
            </w:r>
          </w:p>
        </w:tc>
        <w:tc>
          <w:tcPr>
            <w:tcW w:w="4201" w:type="dxa"/>
          </w:tcPr>
          <w:p w14:paraId="2D880943" w14:textId="3E7C6E64" w:rsidR="004326C7" w:rsidRPr="00CE1D35" w:rsidRDefault="004326C7" w:rsidP="004326C7">
            <w:pPr>
              <w:rPr>
                <w:color w:val="auto"/>
                <w:sz w:val="20"/>
                <w:szCs w:val="20"/>
              </w:rPr>
            </w:pPr>
            <w:r w:rsidRPr="00CE1D35">
              <w:rPr>
                <w:color w:val="auto"/>
                <w:sz w:val="20"/>
                <w:szCs w:val="20"/>
              </w:rPr>
              <w:t>Provide, or encourage others to provide, educational interpretation for visitors – especially if a particular wood has distinctive ecological, historical or cultural features.</w:t>
            </w:r>
          </w:p>
        </w:tc>
      </w:tr>
      <w:tr w:rsidR="004326C7" w:rsidRPr="00CE1D35" w14:paraId="0E23309E" w14:textId="77777777" w:rsidTr="00D55D9B">
        <w:tc>
          <w:tcPr>
            <w:tcW w:w="846" w:type="dxa"/>
          </w:tcPr>
          <w:p w14:paraId="41A6E709" w14:textId="3CFD8782" w:rsidR="004326C7" w:rsidRPr="00CE1D35" w:rsidRDefault="004326C7" w:rsidP="004326C7">
            <w:pPr>
              <w:rPr>
                <w:sz w:val="20"/>
                <w:szCs w:val="20"/>
              </w:rPr>
            </w:pPr>
            <w:r w:rsidRPr="00CE1D35">
              <w:rPr>
                <w:sz w:val="20"/>
                <w:szCs w:val="20"/>
              </w:rPr>
              <w:t>144</w:t>
            </w:r>
          </w:p>
        </w:tc>
        <w:tc>
          <w:tcPr>
            <w:tcW w:w="3969" w:type="dxa"/>
          </w:tcPr>
          <w:p w14:paraId="3AFA2680" w14:textId="14F45214" w:rsidR="004326C7" w:rsidRPr="00CE1D35" w:rsidRDefault="004326C7" w:rsidP="004326C7">
            <w:pPr>
              <w:pStyle w:val="NormalWeb"/>
              <w:rPr>
                <w:rFonts w:asciiTheme="minorHAnsi" w:hAnsiTheme="minorHAnsi" w:cstheme="minorHAnsi"/>
                <w:sz w:val="20"/>
                <w:szCs w:val="20"/>
              </w:rPr>
            </w:pPr>
            <w:r w:rsidRPr="00CE1D35">
              <w:rPr>
                <w:rFonts w:asciiTheme="minorHAnsi" w:hAnsiTheme="minorHAnsi" w:cstheme="minorHAnsi"/>
                <w:sz w:val="20"/>
                <w:szCs w:val="20"/>
              </w:rPr>
              <w:t xml:space="preserve">Consider the potential for developing sustainable woodland-based businesses and livelihoods and how this might be explored with interested parties and through local co-operation. </w:t>
            </w:r>
          </w:p>
        </w:tc>
        <w:tc>
          <w:tcPr>
            <w:tcW w:w="4201" w:type="dxa"/>
          </w:tcPr>
          <w:p w14:paraId="29A3DB5C" w14:textId="7BFD9850" w:rsidR="004326C7" w:rsidRPr="00CE1D35" w:rsidRDefault="004326C7" w:rsidP="004326C7">
            <w:pPr>
              <w:rPr>
                <w:color w:val="auto"/>
                <w:sz w:val="20"/>
                <w:szCs w:val="20"/>
              </w:rPr>
            </w:pPr>
            <w:r w:rsidRPr="00CE1D35">
              <w:rPr>
                <w:color w:val="auto"/>
                <w:sz w:val="20"/>
                <w:szCs w:val="20"/>
              </w:rPr>
              <w:t>Ascertain the potential for developing sustainable woodland-based businesses and livelihoods and how this might be explored with interested parties and through local co-operation.</w:t>
            </w:r>
          </w:p>
        </w:tc>
      </w:tr>
    </w:tbl>
    <w:p w14:paraId="59C65743" w14:textId="4B973988" w:rsidR="00885088" w:rsidRPr="00885088" w:rsidRDefault="00885088" w:rsidP="00615EE6">
      <w:pPr>
        <w:pStyle w:val="NormalWeb"/>
        <w:rPr>
          <w:rFonts w:asciiTheme="minorHAnsi" w:hAnsiTheme="minorHAnsi" w:cstheme="minorHAnsi"/>
          <w:color w:val="000000" w:themeColor="text1"/>
          <w:sz w:val="20"/>
          <w:szCs w:val="20"/>
        </w:rPr>
      </w:pPr>
      <w:r w:rsidRPr="00CE1D35">
        <w:rPr>
          <w:rFonts w:asciiTheme="minorHAnsi" w:hAnsiTheme="minorHAnsi" w:cstheme="minorHAnsi"/>
          <w:color w:val="000000" w:themeColor="text1"/>
          <w:sz w:val="20"/>
          <w:szCs w:val="20"/>
        </w:rPr>
        <w:br/>
        <w:t>* page numbers refer to UKFS 2017</w:t>
      </w:r>
    </w:p>
    <w:p w14:paraId="44D0CC82" w14:textId="6D79276F" w:rsidR="00195841" w:rsidRPr="00B74415" w:rsidRDefault="00195841" w:rsidP="00401CC7">
      <w:pPr>
        <w:rPr>
          <w:rFonts w:eastAsia="Times New Roman"/>
        </w:rPr>
      </w:pPr>
    </w:p>
    <w:sectPr w:rsidR="00195841" w:rsidRPr="00B74415" w:rsidSect="006C112B">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0DA3" w14:textId="77777777" w:rsidR="00880221" w:rsidRDefault="00880221" w:rsidP="00057156">
      <w:r>
        <w:separator/>
      </w:r>
    </w:p>
  </w:endnote>
  <w:endnote w:type="continuationSeparator" w:id="0">
    <w:p w14:paraId="4D701C88" w14:textId="77777777" w:rsidR="00880221" w:rsidRDefault="00880221" w:rsidP="00057156">
      <w:r>
        <w:continuationSeparator/>
      </w:r>
    </w:p>
  </w:endnote>
  <w:endnote w:type="continuationNotice" w:id="1">
    <w:p w14:paraId="5B99A22D" w14:textId="77777777" w:rsidR="00880221" w:rsidRDefault="00880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do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750367"/>
      <w:docPartObj>
        <w:docPartGallery w:val="Page Numbers (Bottom of Page)"/>
        <w:docPartUnique/>
      </w:docPartObj>
    </w:sdtPr>
    <w:sdtEndPr>
      <w:rPr>
        <w:noProof/>
      </w:rPr>
    </w:sdtEndPr>
    <w:sdtContent>
      <w:p w14:paraId="7A0FD6AE" w14:textId="2D1BDCC7" w:rsidR="00984AFC" w:rsidRDefault="00984AFC" w:rsidP="009411A6">
        <w:pPr>
          <w:pStyle w:val="Footer"/>
        </w:pPr>
        <w:r>
          <w:fldChar w:fldCharType="begin"/>
        </w:r>
        <w:r>
          <w:instrText xml:space="preserve"> PAGE   \* MERGEFORMAT </w:instrText>
        </w:r>
        <w:r>
          <w:fldChar w:fldCharType="separate"/>
        </w:r>
        <w:r w:rsidR="009F0FA0">
          <w:rPr>
            <w:noProof/>
          </w:rPr>
          <w:t>9</w:t>
        </w:r>
        <w:r>
          <w:rPr>
            <w:noProof/>
          </w:rPr>
          <w:fldChar w:fldCharType="end"/>
        </w:r>
      </w:p>
    </w:sdtContent>
  </w:sdt>
  <w:p w14:paraId="4CABB94A" w14:textId="77777777" w:rsidR="00984AFC" w:rsidRDefault="00984AFC" w:rsidP="00941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F7B4" w14:textId="77777777" w:rsidR="00880221" w:rsidRDefault="00880221" w:rsidP="00057156">
      <w:r>
        <w:separator/>
      </w:r>
    </w:p>
  </w:footnote>
  <w:footnote w:type="continuationSeparator" w:id="0">
    <w:p w14:paraId="04236390" w14:textId="77777777" w:rsidR="00880221" w:rsidRDefault="00880221" w:rsidP="00057156">
      <w:r>
        <w:continuationSeparator/>
      </w:r>
    </w:p>
  </w:footnote>
  <w:footnote w:type="continuationNotice" w:id="1">
    <w:p w14:paraId="49988219" w14:textId="77777777" w:rsidR="00880221" w:rsidRDefault="008802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29DA" w14:textId="77777777" w:rsidR="00984AFC" w:rsidRDefault="00984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984"/>
    <w:multiLevelType w:val="hybridMultilevel"/>
    <w:tmpl w:val="F30E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F01FE"/>
    <w:multiLevelType w:val="hybridMultilevel"/>
    <w:tmpl w:val="B2E2FF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216984"/>
    <w:multiLevelType w:val="hybridMultilevel"/>
    <w:tmpl w:val="5222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B199F"/>
    <w:multiLevelType w:val="hybridMultilevel"/>
    <w:tmpl w:val="487AFB14"/>
    <w:lvl w:ilvl="0" w:tplc="080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BC5331"/>
    <w:multiLevelType w:val="hybridMultilevel"/>
    <w:tmpl w:val="ACA4BF3C"/>
    <w:lvl w:ilvl="0" w:tplc="FFFFFFFF">
      <w:start w:val="1"/>
      <w:numFmt w:val="decimal"/>
      <w:lvlText w:val="%1."/>
      <w:lvlJc w:val="left"/>
      <w:pPr>
        <w:ind w:left="720" w:hanging="360"/>
      </w:pPr>
      <w:rPr>
        <w:rFonts w:ascii="MundoSans" w:hAnsi="MundoSans" w:hint="default"/>
        <w:color w:val="000000" w:themeColor="text1"/>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12382C"/>
    <w:multiLevelType w:val="hybridMultilevel"/>
    <w:tmpl w:val="7D48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86833"/>
    <w:multiLevelType w:val="hybridMultilevel"/>
    <w:tmpl w:val="A5E85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D32A5"/>
    <w:multiLevelType w:val="multilevel"/>
    <w:tmpl w:val="5516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B574A"/>
    <w:multiLevelType w:val="hybridMultilevel"/>
    <w:tmpl w:val="E826A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E160A"/>
    <w:multiLevelType w:val="multilevel"/>
    <w:tmpl w:val="F85CA3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D6B57F6"/>
    <w:multiLevelType w:val="multilevel"/>
    <w:tmpl w:val="3920E4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32C7731"/>
    <w:multiLevelType w:val="hybridMultilevel"/>
    <w:tmpl w:val="C974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84843"/>
    <w:multiLevelType w:val="hybridMultilevel"/>
    <w:tmpl w:val="D35AC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4C3557"/>
    <w:multiLevelType w:val="multilevel"/>
    <w:tmpl w:val="34FAD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457DF"/>
    <w:multiLevelType w:val="hybridMultilevel"/>
    <w:tmpl w:val="ACA4BF3C"/>
    <w:lvl w:ilvl="0" w:tplc="F76EBE02">
      <w:start w:val="1"/>
      <w:numFmt w:val="decimal"/>
      <w:lvlText w:val="%1."/>
      <w:lvlJc w:val="left"/>
      <w:pPr>
        <w:ind w:left="720" w:hanging="360"/>
      </w:pPr>
      <w:rPr>
        <w:rFonts w:ascii="MundoSans" w:hAnsi="MundoSans" w:hint="default"/>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506A3"/>
    <w:multiLevelType w:val="hybridMultilevel"/>
    <w:tmpl w:val="E5EE8F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620350"/>
    <w:multiLevelType w:val="multilevel"/>
    <w:tmpl w:val="AC9C6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8C4E6C"/>
    <w:multiLevelType w:val="hybridMultilevel"/>
    <w:tmpl w:val="6FD0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A38E3"/>
    <w:multiLevelType w:val="hybridMultilevel"/>
    <w:tmpl w:val="4E9296BC"/>
    <w:lvl w:ilvl="0" w:tplc="3A0407F2">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3A755F07"/>
    <w:multiLevelType w:val="hybridMultilevel"/>
    <w:tmpl w:val="77D80518"/>
    <w:lvl w:ilvl="0" w:tplc="B608F6FA">
      <w:start w:val="1"/>
      <w:numFmt w:val="decimal"/>
      <w:lvlText w:val="%1."/>
      <w:lvlJc w:val="left"/>
      <w:pPr>
        <w:ind w:left="720" w:hanging="36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06B8B"/>
    <w:multiLevelType w:val="hybridMultilevel"/>
    <w:tmpl w:val="06BA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7174A"/>
    <w:multiLevelType w:val="hybridMultilevel"/>
    <w:tmpl w:val="50D4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B2BD9"/>
    <w:multiLevelType w:val="hybridMultilevel"/>
    <w:tmpl w:val="D2E0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AD484F"/>
    <w:multiLevelType w:val="hybridMultilevel"/>
    <w:tmpl w:val="697E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81054"/>
    <w:multiLevelType w:val="hybridMultilevel"/>
    <w:tmpl w:val="4D366BAE"/>
    <w:lvl w:ilvl="0" w:tplc="E81408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7A764F"/>
    <w:multiLevelType w:val="multilevel"/>
    <w:tmpl w:val="FA70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01ADC"/>
    <w:multiLevelType w:val="hybridMultilevel"/>
    <w:tmpl w:val="32E4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8289AC"/>
    <w:multiLevelType w:val="hybridMultilevel"/>
    <w:tmpl w:val="C9EC58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B95511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55329C8"/>
    <w:multiLevelType w:val="hybridMultilevel"/>
    <w:tmpl w:val="4F68C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C33978"/>
    <w:multiLevelType w:val="multilevel"/>
    <w:tmpl w:val="F256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891D66"/>
    <w:multiLevelType w:val="hybridMultilevel"/>
    <w:tmpl w:val="EC76F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0968A4"/>
    <w:multiLevelType w:val="hybridMultilevel"/>
    <w:tmpl w:val="04FA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44BC9"/>
    <w:multiLevelType w:val="multilevel"/>
    <w:tmpl w:val="39365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53791E"/>
    <w:multiLevelType w:val="hybridMultilevel"/>
    <w:tmpl w:val="ACA4BF3C"/>
    <w:lvl w:ilvl="0" w:tplc="FFFFFFFF">
      <w:start w:val="1"/>
      <w:numFmt w:val="decimal"/>
      <w:lvlText w:val="%1."/>
      <w:lvlJc w:val="left"/>
      <w:pPr>
        <w:ind w:left="720" w:hanging="360"/>
      </w:pPr>
      <w:rPr>
        <w:rFonts w:ascii="MundoSans" w:hAnsi="MundoSans" w:hint="default"/>
        <w:color w:val="000000" w:themeColor="text1"/>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B6342A"/>
    <w:multiLevelType w:val="hybridMultilevel"/>
    <w:tmpl w:val="E758C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992778"/>
    <w:multiLevelType w:val="multilevel"/>
    <w:tmpl w:val="B7D6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687BEC"/>
    <w:multiLevelType w:val="hybridMultilevel"/>
    <w:tmpl w:val="3D740D86"/>
    <w:lvl w:ilvl="0" w:tplc="1A4C4846">
      <w:start w:val="14"/>
      <w:numFmt w:val="decimal"/>
      <w:lvlText w:val="%1."/>
      <w:lvlJc w:val="left"/>
      <w:pPr>
        <w:ind w:left="720" w:hanging="360"/>
      </w:pPr>
      <w:rPr>
        <w:rFonts w:ascii="MundoSans" w:hAnsi="MundoSan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3E037C"/>
    <w:multiLevelType w:val="hybridMultilevel"/>
    <w:tmpl w:val="BEA8A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C71D82"/>
    <w:multiLevelType w:val="hybridMultilevel"/>
    <w:tmpl w:val="65D8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7522947">
    <w:abstractNumId w:val="18"/>
  </w:num>
  <w:num w:numId="2" w16cid:durableId="1956054962">
    <w:abstractNumId w:val="28"/>
  </w:num>
  <w:num w:numId="3" w16cid:durableId="1890144172">
    <w:abstractNumId w:val="19"/>
  </w:num>
  <w:num w:numId="4" w16cid:durableId="796144360">
    <w:abstractNumId w:val="10"/>
  </w:num>
  <w:num w:numId="5" w16cid:durableId="506753340">
    <w:abstractNumId w:val="32"/>
  </w:num>
  <w:num w:numId="6" w16cid:durableId="1086925098">
    <w:abstractNumId w:val="12"/>
  </w:num>
  <w:num w:numId="7" w16cid:durableId="419839367">
    <w:abstractNumId w:val="1"/>
  </w:num>
  <w:num w:numId="8" w16cid:durableId="751511911">
    <w:abstractNumId w:val="24"/>
  </w:num>
  <w:num w:numId="9" w16cid:durableId="1329400637">
    <w:abstractNumId w:val="36"/>
  </w:num>
  <w:num w:numId="10" w16cid:durableId="942498651">
    <w:abstractNumId w:val="25"/>
  </w:num>
  <w:num w:numId="11" w16cid:durableId="10842396">
    <w:abstractNumId w:val="6"/>
  </w:num>
  <w:num w:numId="12" w16cid:durableId="706640304">
    <w:abstractNumId w:val="21"/>
  </w:num>
  <w:num w:numId="13" w16cid:durableId="1043406437">
    <w:abstractNumId w:val="11"/>
  </w:num>
  <w:num w:numId="14" w16cid:durableId="2050447219">
    <w:abstractNumId w:val="5"/>
  </w:num>
  <w:num w:numId="15" w16cid:durableId="724449856">
    <w:abstractNumId w:val="15"/>
  </w:num>
  <w:num w:numId="16" w16cid:durableId="317811745">
    <w:abstractNumId w:val="7"/>
  </w:num>
  <w:num w:numId="17" w16cid:durableId="1669792919">
    <w:abstractNumId w:val="38"/>
  </w:num>
  <w:num w:numId="18" w16cid:durableId="695741385">
    <w:abstractNumId w:val="31"/>
  </w:num>
  <w:num w:numId="19" w16cid:durableId="368605484">
    <w:abstractNumId w:val="29"/>
  </w:num>
  <w:num w:numId="20" w16cid:durableId="378209438">
    <w:abstractNumId w:val="2"/>
  </w:num>
  <w:num w:numId="21" w16cid:durableId="1757359284">
    <w:abstractNumId w:val="8"/>
  </w:num>
  <w:num w:numId="22" w16cid:durableId="580989193">
    <w:abstractNumId w:val="17"/>
  </w:num>
  <w:num w:numId="23" w16cid:durableId="1659378851">
    <w:abstractNumId w:val="0"/>
  </w:num>
  <w:num w:numId="24" w16cid:durableId="2050957597">
    <w:abstractNumId w:val="35"/>
  </w:num>
  <w:num w:numId="25" w16cid:durableId="1792163814">
    <w:abstractNumId w:val="13"/>
  </w:num>
  <w:num w:numId="26" w16cid:durableId="320550043">
    <w:abstractNumId w:val="16"/>
  </w:num>
  <w:num w:numId="27" w16cid:durableId="1828982592">
    <w:abstractNumId w:val="30"/>
  </w:num>
  <w:num w:numId="28" w16cid:durableId="720595922">
    <w:abstractNumId w:val="14"/>
  </w:num>
  <w:num w:numId="29" w16cid:durableId="778523201">
    <w:abstractNumId w:val="37"/>
  </w:num>
  <w:num w:numId="30" w16cid:durableId="335693677">
    <w:abstractNumId w:val="4"/>
  </w:num>
  <w:num w:numId="31" w16cid:durableId="926033264">
    <w:abstractNumId w:val="33"/>
  </w:num>
  <w:num w:numId="32" w16cid:durableId="1919091712">
    <w:abstractNumId w:val="34"/>
  </w:num>
  <w:num w:numId="33" w16cid:durableId="581068933">
    <w:abstractNumId w:val="23"/>
  </w:num>
  <w:num w:numId="34" w16cid:durableId="1253473701">
    <w:abstractNumId w:val="39"/>
  </w:num>
  <w:num w:numId="35" w16cid:durableId="570776399">
    <w:abstractNumId w:val="27"/>
  </w:num>
  <w:num w:numId="36" w16cid:durableId="1058170075">
    <w:abstractNumId w:val="26"/>
  </w:num>
  <w:num w:numId="37" w16cid:durableId="714696228">
    <w:abstractNumId w:val="20"/>
  </w:num>
  <w:num w:numId="38" w16cid:durableId="1251042480">
    <w:abstractNumId w:val="3"/>
  </w:num>
  <w:num w:numId="39" w16cid:durableId="1545559263">
    <w:abstractNumId w:val="22"/>
  </w:num>
  <w:num w:numId="40" w16cid:durableId="7793787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0C"/>
    <w:rsid w:val="00000934"/>
    <w:rsid w:val="000024C0"/>
    <w:rsid w:val="000024E3"/>
    <w:rsid w:val="00013147"/>
    <w:rsid w:val="00013904"/>
    <w:rsid w:val="00020045"/>
    <w:rsid w:val="00020755"/>
    <w:rsid w:val="0002514C"/>
    <w:rsid w:val="00030AA6"/>
    <w:rsid w:val="000312B3"/>
    <w:rsid w:val="00032C60"/>
    <w:rsid w:val="000348FD"/>
    <w:rsid w:val="000407C0"/>
    <w:rsid w:val="00040E31"/>
    <w:rsid w:val="00042C17"/>
    <w:rsid w:val="00045806"/>
    <w:rsid w:val="00047CBE"/>
    <w:rsid w:val="00051940"/>
    <w:rsid w:val="00052583"/>
    <w:rsid w:val="00053BEC"/>
    <w:rsid w:val="00055238"/>
    <w:rsid w:val="0005523A"/>
    <w:rsid w:val="00057156"/>
    <w:rsid w:val="00057E3D"/>
    <w:rsid w:val="00062422"/>
    <w:rsid w:val="0006299E"/>
    <w:rsid w:val="00065E8B"/>
    <w:rsid w:val="00073EC2"/>
    <w:rsid w:val="00082F0F"/>
    <w:rsid w:val="0008702F"/>
    <w:rsid w:val="00091210"/>
    <w:rsid w:val="000913C8"/>
    <w:rsid w:val="00091F3C"/>
    <w:rsid w:val="000A0FF6"/>
    <w:rsid w:val="000A1B2E"/>
    <w:rsid w:val="000A4F90"/>
    <w:rsid w:val="000B0CD1"/>
    <w:rsid w:val="000B19D3"/>
    <w:rsid w:val="000B202A"/>
    <w:rsid w:val="000B48B5"/>
    <w:rsid w:val="000B5101"/>
    <w:rsid w:val="000B5D41"/>
    <w:rsid w:val="000B6CC8"/>
    <w:rsid w:val="000C0243"/>
    <w:rsid w:val="000C23FD"/>
    <w:rsid w:val="000C2852"/>
    <w:rsid w:val="000C5733"/>
    <w:rsid w:val="000D6B41"/>
    <w:rsid w:val="000D7A58"/>
    <w:rsid w:val="000E10CA"/>
    <w:rsid w:val="000E41C2"/>
    <w:rsid w:val="000E7314"/>
    <w:rsid w:val="000F7282"/>
    <w:rsid w:val="0010290F"/>
    <w:rsid w:val="0010495E"/>
    <w:rsid w:val="00106DF5"/>
    <w:rsid w:val="001102E0"/>
    <w:rsid w:val="00112F92"/>
    <w:rsid w:val="00113A4B"/>
    <w:rsid w:val="001146DE"/>
    <w:rsid w:val="0011553D"/>
    <w:rsid w:val="00123248"/>
    <w:rsid w:val="001249EF"/>
    <w:rsid w:val="001302DC"/>
    <w:rsid w:val="001325A0"/>
    <w:rsid w:val="00135A8E"/>
    <w:rsid w:val="00140653"/>
    <w:rsid w:val="00142700"/>
    <w:rsid w:val="00144AFB"/>
    <w:rsid w:val="00150FB4"/>
    <w:rsid w:val="00153104"/>
    <w:rsid w:val="00155CDA"/>
    <w:rsid w:val="00157DDB"/>
    <w:rsid w:val="001616AA"/>
    <w:rsid w:val="00162867"/>
    <w:rsid w:val="00170521"/>
    <w:rsid w:val="00174431"/>
    <w:rsid w:val="001774B2"/>
    <w:rsid w:val="00180095"/>
    <w:rsid w:val="001816D6"/>
    <w:rsid w:val="00181954"/>
    <w:rsid w:val="00183F0B"/>
    <w:rsid w:val="00187774"/>
    <w:rsid w:val="00191A04"/>
    <w:rsid w:val="00191E08"/>
    <w:rsid w:val="0019480D"/>
    <w:rsid w:val="00194BFF"/>
    <w:rsid w:val="00195841"/>
    <w:rsid w:val="00196FC7"/>
    <w:rsid w:val="001A060E"/>
    <w:rsid w:val="001A0E6A"/>
    <w:rsid w:val="001A2759"/>
    <w:rsid w:val="001A2A76"/>
    <w:rsid w:val="001A3736"/>
    <w:rsid w:val="001A3867"/>
    <w:rsid w:val="001A3F7D"/>
    <w:rsid w:val="001A3FCB"/>
    <w:rsid w:val="001A6EDB"/>
    <w:rsid w:val="001A7A4C"/>
    <w:rsid w:val="001A7B5A"/>
    <w:rsid w:val="001B191C"/>
    <w:rsid w:val="001B47F1"/>
    <w:rsid w:val="001B494B"/>
    <w:rsid w:val="001C2C28"/>
    <w:rsid w:val="001C30EE"/>
    <w:rsid w:val="001D44BC"/>
    <w:rsid w:val="001E0475"/>
    <w:rsid w:val="001E2EB1"/>
    <w:rsid w:val="001E560B"/>
    <w:rsid w:val="001E6BB5"/>
    <w:rsid w:val="001E73E5"/>
    <w:rsid w:val="001F5295"/>
    <w:rsid w:val="001F5D17"/>
    <w:rsid w:val="00202D3B"/>
    <w:rsid w:val="00205DE4"/>
    <w:rsid w:val="002100C3"/>
    <w:rsid w:val="0021562E"/>
    <w:rsid w:val="00216477"/>
    <w:rsid w:val="002203E9"/>
    <w:rsid w:val="00233ECF"/>
    <w:rsid w:val="00234610"/>
    <w:rsid w:val="00234F4C"/>
    <w:rsid w:val="00240FC0"/>
    <w:rsid w:val="002432C5"/>
    <w:rsid w:val="00243B94"/>
    <w:rsid w:val="00246999"/>
    <w:rsid w:val="00247155"/>
    <w:rsid w:val="002520AE"/>
    <w:rsid w:val="00256301"/>
    <w:rsid w:val="002570F1"/>
    <w:rsid w:val="002575A7"/>
    <w:rsid w:val="002747AB"/>
    <w:rsid w:val="00275461"/>
    <w:rsid w:val="00276E20"/>
    <w:rsid w:val="00282F00"/>
    <w:rsid w:val="00283BC0"/>
    <w:rsid w:val="00284499"/>
    <w:rsid w:val="00284EB0"/>
    <w:rsid w:val="002853B2"/>
    <w:rsid w:val="00287CB5"/>
    <w:rsid w:val="0029336B"/>
    <w:rsid w:val="0029469B"/>
    <w:rsid w:val="002A1E20"/>
    <w:rsid w:val="002A2732"/>
    <w:rsid w:val="002A317E"/>
    <w:rsid w:val="002A6D29"/>
    <w:rsid w:val="002B0EDF"/>
    <w:rsid w:val="002B1CC8"/>
    <w:rsid w:val="002B2403"/>
    <w:rsid w:val="002B3D72"/>
    <w:rsid w:val="002B72D2"/>
    <w:rsid w:val="002C05C0"/>
    <w:rsid w:val="002C1E9E"/>
    <w:rsid w:val="002C5667"/>
    <w:rsid w:val="002C5E4B"/>
    <w:rsid w:val="002C76B1"/>
    <w:rsid w:val="002D531F"/>
    <w:rsid w:val="002D6449"/>
    <w:rsid w:val="002D6DEB"/>
    <w:rsid w:val="002E117D"/>
    <w:rsid w:val="002E1829"/>
    <w:rsid w:val="002E1FA6"/>
    <w:rsid w:val="002E3559"/>
    <w:rsid w:val="002E3E38"/>
    <w:rsid w:val="002E5417"/>
    <w:rsid w:val="002E5CC9"/>
    <w:rsid w:val="002E661F"/>
    <w:rsid w:val="002E7F3E"/>
    <w:rsid w:val="002F330F"/>
    <w:rsid w:val="002F3A8A"/>
    <w:rsid w:val="002F40E1"/>
    <w:rsid w:val="00300F28"/>
    <w:rsid w:val="003011E3"/>
    <w:rsid w:val="003035D1"/>
    <w:rsid w:val="00303895"/>
    <w:rsid w:val="003041A5"/>
    <w:rsid w:val="00305BFF"/>
    <w:rsid w:val="00306A77"/>
    <w:rsid w:val="003111F3"/>
    <w:rsid w:val="003124D5"/>
    <w:rsid w:val="00312B20"/>
    <w:rsid w:val="00312B9C"/>
    <w:rsid w:val="00313C00"/>
    <w:rsid w:val="00315DA3"/>
    <w:rsid w:val="003210DD"/>
    <w:rsid w:val="00321680"/>
    <w:rsid w:val="00321A5D"/>
    <w:rsid w:val="00324F8E"/>
    <w:rsid w:val="00325DEC"/>
    <w:rsid w:val="00327BE1"/>
    <w:rsid w:val="00327E53"/>
    <w:rsid w:val="00333AF2"/>
    <w:rsid w:val="00333E91"/>
    <w:rsid w:val="003342A5"/>
    <w:rsid w:val="00334813"/>
    <w:rsid w:val="00334B6E"/>
    <w:rsid w:val="00334DAA"/>
    <w:rsid w:val="00350244"/>
    <w:rsid w:val="003509CA"/>
    <w:rsid w:val="003514D0"/>
    <w:rsid w:val="00351E72"/>
    <w:rsid w:val="00355E46"/>
    <w:rsid w:val="00360190"/>
    <w:rsid w:val="0036094D"/>
    <w:rsid w:val="003632CB"/>
    <w:rsid w:val="0036391A"/>
    <w:rsid w:val="003644D1"/>
    <w:rsid w:val="003667F5"/>
    <w:rsid w:val="00367EAE"/>
    <w:rsid w:val="003714DF"/>
    <w:rsid w:val="003765C7"/>
    <w:rsid w:val="003801EE"/>
    <w:rsid w:val="003804B9"/>
    <w:rsid w:val="003834D1"/>
    <w:rsid w:val="0038385B"/>
    <w:rsid w:val="0038733F"/>
    <w:rsid w:val="003873D5"/>
    <w:rsid w:val="00391381"/>
    <w:rsid w:val="0039261F"/>
    <w:rsid w:val="00396A20"/>
    <w:rsid w:val="00397E95"/>
    <w:rsid w:val="003A13AA"/>
    <w:rsid w:val="003A7165"/>
    <w:rsid w:val="003A7C2E"/>
    <w:rsid w:val="003C057B"/>
    <w:rsid w:val="003C0C84"/>
    <w:rsid w:val="003C0E20"/>
    <w:rsid w:val="003D2093"/>
    <w:rsid w:val="003D499C"/>
    <w:rsid w:val="003D57EA"/>
    <w:rsid w:val="003E0FBD"/>
    <w:rsid w:val="003E6B03"/>
    <w:rsid w:val="003E6C4E"/>
    <w:rsid w:val="003F464F"/>
    <w:rsid w:val="003F65AA"/>
    <w:rsid w:val="003F67C5"/>
    <w:rsid w:val="00401CC7"/>
    <w:rsid w:val="00404C20"/>
    <w:rsid w:val="004053E2"/>
    <w:rsid w:val="004071A5"/>
    <w:rsid w:val="004131FB"/>
    <w:rsid w:val="0041512E"/>
    <w:rsid w:val="00424D00"/>
    <w:rsid w:val="0043167F"/>
    <w:rsid w:val="00431D2B"/>
    <w:rsid w:val="00432626"/>
    <w:rsid w:val="004326C7"/>
    <w:rsid w:val="00432F05"/>
    <w:rsid w:val="0044313D"/>
    <w:rsid w:val="00447BC0"/>
    <w:rsid w:val="00451B91"/>
    <w:rsid w:val="0045707C"/>
    <w:rsid w:val="00460445"/>
    <w:rsid w:val="004608EB"/>
    <w:rsid w:val="004628F8"/>
    <w:rsid w:val="004632D9"/>
    <w:rsid w:val="00463EF6"/>
    <w:rsid w:val="00474F5A"/>
    <w:rsid w:val="00476E78"/>
    <w:rsid w:val="00485059"/>
    <w:rsid w:val="004860F8"/>
    <w:rsid w:val="00492015"/>
    <w:rsid w:val="00496C0C"/>
    <w:rsid w:val="00497AEF"/>
    <w:rsid w:val="004A5361"/>
    <w:rsid w:val="004A70AC"/>
    <w:rsid w:val="004A72C6"/>
    <w:rsid w:val="004C0B09"/>
    <w:rsid w:val="004C4412"/>
    <w:rsid w:val="004C4BFC"/>
    <w:rsid w:val="004C5011"/>
    <w:rsid w:val="004D257E"/>
    <w:rsid w:val="004D2DC7"/>
    <w:rsid w:val="004E2B67"/>
    <w:rsid w:val="004E5FDE"/>
    <w:rsid w:val="004E7B18"/>
    <w:rsid w:val="004F041A"/>
    <w:rsid w:val="004F1B00"/>
    <w:rsid w:val="00500358"/>
    <w:rsid w:val="00500973"/>
    <w:rsid w:val="00505C2A"/>
    <w:rsid w:val="00514F29"/>
    <w:rsid w:val="005156EE"/>
    <w:rsid w:val="005168A8"/>
    <w:rsid w:val="005206F1"/>
    <w:rsid w:val="00532DA9"/>
    <w:rsid w:val="00533458"/>
    <w:rsid w:val="00535C80"/>
    <w:rsid w:val="0053792A"/>
    <w:rsid w:val="005436BD"/>
    <w:rsid w:val="00544DDB"/>
    <w:rsid w:val="00547F68"/>
    <w:rsid w:val="005568CB"/>
    <w:rsid w:val="00556B54"/>
    <w:rsid w:val="0056227D"/>
    <w:rsid w:val="0056316F"/>
    <w:rsid w:val="00563292"/>
    <w:rsid w:val="00563FC3"/>
    <w:rsid w:val="00566CD2"/>
    <w:rsid w:val="00570F98"/>
    <w:rsid w:val="00576186"/>
    <w:rsid w:val="00581FFA"/>
    <w:rsid w:val="00586CD8"/>
    <w:rsid w:val="0058713A"/>
    <w:rsid w:val="00593760"/>
    <w:rsid w:val="005938E6"/>
    <w:rsid w:val="0059621D"/>
    <w:rsid w:val="00597045"/>
    <w:rsid w:val="005B0FDE"/>
    <w:rsid w:val="005B383E"/>
    <w:rsid w:val="005B5A85"/>
    <w:rsid w:val="005C1449"/>
    <w:rsid w:val="005C1487"/>
    <w:rsid w:val="005C297C"/>
    <w:rsid w:val="005D2610"/>
    <w:rsid w:val="005E0300"/>
    <w:rsid w:val="005E4252"/>
    <w:rsid w:val="005E4343"/>
    <w:rsid w:val="005E6ED1"/>
    <w:rsid w:val="005F01F6"/>
    <w:rsid w:val="005F063B"/>
    <w:rsid w:val="005F0EED"/>
    <w:rsid w:val="005F42D2"/>
    <w:rsid w:val="00600B4B"/>
    <w:rsid w:val="00601A82"/>
    <w:rsid w:val="0060603B"/>
    <w:rsid w:val="00606FFB"/>
    <w:rsid w:val="0060721F"/>
    <w:rsid w:val="0060730F"/>
    <w:rsid w:val="00614793"/>
    <w:rsid w:val="00615C89"/>
    <w:rsid w:val="00615EE6"/>
    <w:rsid w:val="006175A3"/>
    <w:rsid w:val="00623021"/>
    <w:rsid w:val="00625419"/>
    <w:rsid w:val="00625732"/>
    <w:rsid w:val="006267DD"/>
    <w:rsid w:val="006318B4"/>
    <w:rsid w:val="00631AB8"/>
    <w:rsid w:val="00634335"/>
    <w:rsid w:val="006346DC"/>
    <w:rsid w:val="00637548"/>
    <w:rsid w:val="00651BAF"/>
    <w:rsid w:val="00652178"/>
    <w:rsid w:val="006523D9"/>
    <w:rsid w:val="00652B61"/>
    <w:rsid w:val="00655801"/>
    <w:rsid w:val="006569D5"/>
    <w:rsid w:val="00660092"/>
    <w:rsid w:val="0066613B"/>
    <w:rsid w:val="00666725"/>
    <w:rsid w:val="00666F2D"/>
    <w:rsid w:val="00670B4F"/>
    <w:rsid w:val="00671771"/>
    <w:rsid w:val="00671C7B"/>
    <w:rsid w:val="00672736"/>
    <w:rsid w:val="0067646A"/>
    <w:rsid w:val="0067690E"/>
    <w:rsid w:val="006824B2"/>
    <w:rsid w:val="006926EC"/>
    <w:rsid w:val="00694E55"/>
    <w:rsid w:val="00696373"/>
    <w:rsid w:val="006A1549"/>
    <w:rsid w:val="006A62FE"/>
    <w:rsid w:val="006A6D50"/>
    <w:rsid w:val="006B06A3"/>
    <w:rsid w:val="006B0B58"/>
    <w:rsid w:val="006B12CD"/>
    <w:rsid w:val="006B2A27"/>
    <w:rsid w:val="006B3590"/>
    <w:rsid w:val="006B66DA"/>
    <w:rsid w:val="006B6969"/>
    <w:rsid w:val="006B6F9B"/>
    <w:rsid w:val="006C112B"/>
    <w:rsid w:val="006C3878"/>
    <w:rsid w:val="006D3BE6"/>
    <w:rsid w:val="006D4C90"/>
    <w:rsid w:val="006D5B7A"/>
    <w:rsid w:val="006D7616"/>
    <w:rsid w:val="006E1F0F"/>
    <w:rsid w:val="006E42BC"/>
    <w:rsid w:val="006E4850"/>
    <w:rsid w:val="006E68FF"/>
    <w:rsid w:val="006F120D"/>
    <w:rsid w:val="006F2B16"/>
    <w:rsid w:val="006F3642"/>
    <w:rsid w:val="006F6952"/>
    <w:rsid w:val="006F785B"/>
    <w:rsid w:val="00706044"/>
    <w:rsid w:val="007116F0"/>
    <w:rsid w:val="007143CA"/>
    <w:rsid w:val="007153E8"/>
    <w:rsid w:val="00716A8A"/>
    <w:rsid w:val="0072046C"/>
    <w:rsid w:val="00721204"/>
    <w:rsid w:val="00721340"/>
    <w:rsid w:val="007214C7"/>
    <w:rsid w:val="0072256A"/>
    <w:rsid w:val="00725798"/>
    <w:rsid w:val="00726A69"/>
    <w:rsid w:val="00733020"/>
    <w:rsid w:val="0073347C"/>
    <w:rsid w:val="0073798A"/>
    <w:rsid w:val="007426F2"/>
    <w:rsid w:val="007453EA"/>
    <w:rsid w:val="007454B2"/>
    <w:rsid w:val="00745B22"/>
    <w:rsid w:val="007461EF"/>
    <w:rsid w:val="007463DE"/>
    <w:rsid w:val="00746B8F"/>
    <w:rsid w:val="00754364"/>
    <w:rsid w:val="00755CF2"/>
    <w:rsid w:val="0075600C"/>
    <w:rsid w:val="0076110F"/>
    <w:rsid w:val="00764464"/>
    <w:rsid w:val="0077526A"/>
    <w:rsid w:val="0077719E"/>
    <w:rsid w:val="00777B4C"/>
    <w:rsid w:val="0078076F"/>
    <w:rsid w:val="00780891"/>
    <w:rsid w:val="0079024F"/>
    <w:rsid w:val="00791919"/>
    <w:rsid w:val="00794DB1"/>
    <w:rsid w:val="00796909"/>
    <w:rsid w:val="00797FAC"/>
    <w:rsid w:val="007A3B35"/>
    <w:rsid w:val="007B0B71"/>
    <w:rsid w:val="007B2DA9"/>
    <w:rsid w:val="007B2F56"/>
    <w:rsid w:val="007B3956"/>
    <w:rsid w:val="007B39D6"/>
    <w:rsid w:val="007B54B0"/>
    <w:rsid w:val="007C4572"/>
    <w:rsid w:val="007C551E"/>
    <w:rsid w:val="007C5C69"/>
    <w:rsid w:val="007C7B62"/>
    <w:rsid w:val="007D0550"/>
    <w:rsid w:val="007D0772"/>
    <w:rsid w:val="007D3A2B"/>
    <w:rsid w:val="007D63C7"/>
    <w:rsid w:val="007E7035"/>
    <w:rsid w:val="007E7322"/>
    <w:rsid w:val="007F1D0C"/>
    <w:rsid w:val="007F5CC8"/>
    <w:rsid w:val="007F7B83"/>
    <w:rsid w:val="0080186A"/>
    <w:rsid w:val="00804943"/>
    <w:rsid w:val="00804991"/>
    <w:rsid w:val="008065F1"/>
    <w:rsid w:val="00814888"/>
    <w:rsid w:val="00825A26"/>
    <w:rsid w:val="00825D09"/>
    <w:rsid w:val="0082644E"/>
    <w:rsid w:val="0082696B"/>
    <w:rsid w:val="00826CEA"/>
    <w:rsid w:val="00827341"/>
    <w:rsid w:val="00830381"/>
    <w:rsid w:val="00830B19"/>
    <w:rsid w:val="00831C6B"/>
    <w:rsid w:val="008344DC"/>
    <w:rsid w:val="00835A07"/>
    <w:rsid w:val="00842C62"/>
    <w:rsid w:val="008463E4"/>
    <w:rsid w:val="008500D0"/>
    <w:rsid w:val="008502CB"/>
    <w:rsid w:val="00852C26"/>
    <w:rsid w:val="00853F75"/>
    <w:rsid w:val="00855C5F"/>
    <w:rsid w:val="008609A3"/>
    <w:rsid w:val="00862518"/>
    <w:rsid w:val="0086581B"/>
    <w:rsid w:val="00866F78"/>
    <w:rsid w:val="00871B9A"/>
    <w:rsid w:val="00873569"/>
    <w:rsid w:val="008746C5"/>
    <w:rsid w:val="00874979"/>
    <w:rsid w:val="008752AF"/>
    <w:rsid w:val="00880221"/>
    <w:rsid w:val="008811C2"/>
    <w:rsid w:val="00885088"/>
    <w:rsid w:val="008863B4"/>
    <w:rsid w:val="00887C3F"/>
    <w:rsid w:val="00891A2B"/>
    <w:rsid w:val="00895595"/>
    <w:rsid w:val="008A2AC2"/>
    <w:rsid w:val="008A3EE8"/>
    <w:rsid w:val="008A5E21"/>
    <w:rsid w:val="008C0E1C"/>
    <w:rsid w:val="008C2BB3"/>
    <w:rsid w:val="008C6DC6"/>
    <w:rsid w:val="008C7C62"/>
    <w:rsid w:val="008D1480"/>
    <w:rsid w:val="008D37F5"/>
    <w:rsid w:val="008D4B2A"/>
    <w:rsid w:val="008D4ECB"/>
    <w:rsid w:val="008F02EC"/>
    <w:rsid w:val="008F1658"/>
    <w:rsid w:val="008F56F6"/>
    <w:rsid w:val="008F6EA4"/>
    <w:rsid w:val="008F768C"/>
    <w:rsid w:val="0090101B"/>
    <w:rsid w:val="00902A20"/>
    <w:rsid w:val="00902DCE"/>
    <w:rsid w:val="00904303"/>
    <w:rsid w:val="009051C6"/>
    <w:rsid w:val="009122C6"/>
    <w:rsid w:val="0091269F"/>
    <w:rsid w:val="00913506"/>
    <w:rsid w:val="009157ED"/>
    <w:rsid w:val="00916C62"/>
    <w:rsid w:val="00917E20"/>
    <w:rsid w:val="00920BEA"/>
    <w:rsid w:val="009214E3"/>
    <w:rsid w:val="009230F5"/>
    <w:rsid w:val="0092651F"/>
    <w:rsid w:val="0093091F"/>
    <w:rsid w:val="0093187D"/>
    <w:rsid w:val="009411A6"/>
    <w:rsid w:val="009413B7"/>
    <w:rsid w:val="00943982"/>
    <w:rsid w:val="00944444"/>
    <w:rsid w:val="00944451"/>
    <w:rsid w:val="009468BA"/>
    <w:rsid w:val="00950B38"/>
    <w:rsid w:val="00951B13"/>
    <w:rsid w:val="009544D1"/>
    <w:rsid w:val="00954624"/>
    <w:rsid w:val="00955B88"/>
    <w:rsid w:val="00956885"/>
    <w:rsid w:val="0095689A"/>
    <w:rsid w:val="00957A61"/>
    <w:rsid w:val="00966250"/>
    <w:rsid w:val="00970129"/>
    <w:rsid w:val="00973998"/>
    <w:rsid w:val="009746EF"/>
    <w:rsid w:val="009765D6"/>
    <w:rsid w:val="00980BD7"/>
    <w:rsid w:val="00981E30"/>
    <w:rsid w:val="00981EC6"/>
    <w:rsid w:val="00984AFC"/>
    <w:rsid w:val="00986D9D"/>
    <w:rsid w:val="0098782B"/>
    <w:rsid w:val="00992013"/>
    <w:rsid w:val="00995E42"/>
    <w:rsid w:val="009976D9"/>
    <w:rsid w:val="009A36CF"/>
    <w:rsid w:val="009A4DFD"/>
    <w:rsid w:val="009A6B68"/>
    <w:rsid w:val="009B031A"/>
    <w:rsid w:val="009B5492"/>
    <w:rsid w:val="009B7C82"/>
    <w:rsid w:val="009B7F46"/>
    <w:rsid w:val="009C43D6"/>
    <w:rsid w:val="009C44EA"/>
    <w:rsid w:val="009D4D1D"/>
    <w:rsid w:val="009E14D9"/>
    <w:rsid w:val="009E5600"/>
    <w:rsid w:val="009E5704"/>
    <w:rsid w:val="009E5FF8"/>
    <w:rsid w:val="009E6A77"/>
    <w:rsid w:val="009E6FED"/>
    <w:rsid w:val="009F0FA0"/>
    <w:rsid w:val="009F1AAA"/>
    <w:rsid w:val="009F4A16"/>
    <w:rsid w:val="009F638B"/>
    <w:rsid w:val="00A02FFB"/>
    <w:rsid w:val="00A033A3"/>
    <w:rsid w:val="00A06366"/>
    <w:rsid w:val="00A0721D"/>
    <w:rsid w:val="00A11704"/>
    <w:rsid w:val="00A12034"/>
    <w:rsid w:val="00A2006F"/>
    <w:rsid w:val="00A22496"/>
    <w:rsid w:val="00A327F5"/>
    <w:rsid w:val="00A32F11"/>
    <w:rsid w:val="00A340BA"/>
    <w:rsid w:val="00A402E6"/>
    <w:rsid w:val="00A420D2"/>
    <w:rsid w:val="00A45496"/>
    <w:rsid w:val="00A5193F"/>
    <w:rsid w:val="00A5328D"/>
    <w:rsid w:val="00A53592"/>
    <w:rsid w:val="00A56C3C"/>
    <w:rsid w:val="00A56D60"/>
    <w:rsid w:val="00A574A8"/>
    <w:rsid w:val="00A62D8E"/>
    <w:rsid w:val="00A7000B"/>
    <w:rsid w:val="00A718DD"/>
    <w:rsid w:val="00A71D4A"/>
    <w:rsid w:val="00A72599"/>
    <w:rsid w:val="00A74232"/>
    <w:rsid w:val="00A76225"/>
    <w:rsid w:val="00A8157A"/>
    <w:rsid w:val="00A90201"/>
    <w:rsid w:val="00A924FC"/>
    <w:rsid w:val="00A93C3D"/>
    <w:rsid w:val="00AA405D"/>
    <w:rsid w:val="00AA5161"/>
    <w:rsid w:val="00AA7F48"/>
    <w:rsid w:val="00AB0261"/>
    <w:rsid w:val="00AB1107"/>
    <w:rsid w:val="00AB3150"/>
    <w:rsid w:val="00AB4D69"/>
    <w:rsid w:val="00AB605C"/>
    <w:rsid w:val="00AB78B9"/>
    <w:rsid w:val="00AB7BB4"/>
    <w:rsid w:val="00AC184E"/>
    <w:rsid w:val="00AC1FC5"/>
    <w:rsid w:val="00AC3357"/>
    <w:rsid w:val="00AC4804"/>
    <w:rsid w:val="00AC4D86"/>
    <w:rsid w:val="00AC5D84"/>
    <w:rsid w:val="00AD007C"/>
    <w:rsid w:val="00AE060D"/>
    <w:rsid w:val="00AE1FE1"/>
    <w:rsid w:val="00AE280A"/>
    <w:rsid w:val="00AE38A8"/>
    <w:rsid w:val="00AE52EA"/>
    <w:rsid w:val="00AE62FC"/>
    <w:rsid w:val="00AF1AE5"/>
    <w:rsid w:val="00AF4A1A"/>
    <w:rsid w:val="00AF5034"/>
    <w:rsid w:val="00B0349B"/>
    <w:rsid w:val="00B04A90"/>
    <w:rsid w:val="00B05D1D"/>
    <w:rsid w:val="00B07730"/>
    <w:rsid w:val="00B12C56"/>
    <w:rsid w:val="00B13D1A"/>
    <w:rsid w:val="00B16C79"/>
    <w:rsid w:val="00B21170"/>
    <w:rsid w:val="00B213EB"/>
    <w:rsid w:val="00B271AE"/>
    <w:rsid w:val="00B3424C"/>
    <w:rsid w:val="00B348D1"/>
    <w:rsid w:val="00B35AC3"/>
    <w:rsid w:val="00B42767"/>
    <w:rsid w:val="00B4752B"/>
    <w:rsid w:val="00B47B9F"/>
    <w:rsid w:val="00B54FEA"/>
    <w:rsid w:val="00B60296"/>
    <w:rsid w:val="00B60573"/>
    <w:rsid w:val="00B625DE"/>
    <w:rsid w:val="00B66C4C"/>
    <w:rsid w:val="00B709E0"/>
    <w:rsid w:val="00B70BEC"/>
    <w:rsid w:val="00B70C2A"/>
    <w:rsid w:val="00B71386"/>
    <w:rsid w:val="00B71DB6"/>
    <w:rsid w:val="00B7270D"/>
    <w:rsid w:val="00B732D9"/>
    <w:rsid w:val="00B73F41"/>
    <w:rsid w:val="00B74415"/>
    <w:rsid w:val="00B75E14"/>
    <w:rsid w:val="00B826D5"/>
    <w:rsid w:val="00B828F5"/>
    <w:rsid w:val="00B85831"/>
    <w:rsid w:val="00B86E21"/>
    <w:rsid w:val="00B90A1B"/>
    <w:rsid w:val="00B919B7"/>
    <w:rsid w:val="00B94740"/>
    <w:rsid w:val="00BA136A"/>
    <w:rsid w:val="00BA396C"/>
    <w:rsid w:val="00BA5D84"/>
    <w:rsid w:val="00BB0338"/>
    <w:rsid w:val="00BB1230"/>
    <w:rsid w:val="00BB4A7C"/>
    <w:rsid w:val="00BB4CE2"/>
    <w:rsid w:val="00BB52FC"/>
    <w:rsid w:val="00BC0293"/>
    <w:rsid w:val="00BC0421"/>
    <w:rsid w:val="00BC0494"/>
    <w:rsid w:val="00BC2A92"/>
    <w:rsid w:val="00BE1EE2"/>
    <w:rsid w:val="00BE5C52"/>
    <w:rsid w:val="00BE613C"/>
    <w:rsid w:val="00BE7A09"/>
    <w:rsid w:val="00BE7C00"/>
    <w:rsid w:val="00BF01D6"/>
    <w:rsid w:val="00BF29EB"/>
    <w:rsid w:val="00BF38C9"/>
    <w:rsid w:val="00BF4536"/>
    <w:rsid w:val="00BF50F9"/>
    <w:rsid w:val="00BF57D4"/>
    <w:rsid w:val="00C0026F"/>
    <w:rsid w:val="00C01680"/>
    <w:rsid w:val="00C016AE"/>
    <w:rsid w:val="00C01A4E"/>
    <w:rsid w:val="00C02607"/>
    <w:rsid w:val="00C04AFC"/>
    <w:rsid w:val="00C04B23"/>
    <w:rsid w:val="00C140B9"/>
    <w:rsid w:val="00C15868"/>
    <w:rsid w:val="00C2019E"/>
    <w:rsid w:val="00C207AE"/>
    <w:rsid w:val="00C233A3"/>
    <w:rsid w:val="00C242DD"/>
    <w:rsid w:val="00C24872"/>
    <w:rsid w:val="00C24F8C"/>
    <w:rsid w:val="00C26B65"/>
    <w:rsid w:val="00C26C5A"/>
    <w:rsid w:val="00C275A4"/>
    <w:rsid w:val="00C3008C"/>
    <w:rsid w:val="00C37DB2"/>
    <w:rsid w:val="00C44CE3"/>
    <w:rsid w:val="00C45010"/>
    <w:rsid w:val="00C45D01"/>
    <w:rsid w:val="00C506E9"/>
    <w:rsid w:val="00C50923"/>
    <w:rsid w:val="00C524FA"/>
    <w:rsid w:val="00C56D51"/>
    <w:rsid w:val="00C60E35"/>
    <w:rsid w:val="00C61302"/>
    <w:rsid w:val="00C64077"/>
    <w:rsid w:val="00C640CB"/>
    <w:rsid w:val="00C67150"/>
    <w:rsid w:val="00C67D65"/>
    <w:rsid w:val="00C70976"/>
    <w:rsid w:val="00C7788F"/>
    <w:rsid w:val="00C77DE7"/>
    <w:rsid w:val="00C82BC9"/>
    <w:rsid w:val="00C8518D"/>
    <w:rsid w:val="00C908AC"/>
    <w:rsid w:val="00C90DAC"/>
    <w:rsid w:val="00C95358"/>
    <w:rsid w:val="00C97F4F"/>
    <w:rsid w:val="00CA12A8"/>
    <w:rsid w:val="00CA3BEE"/>
    <w:rsid w:val="00CA6522"/>
    <w:rsid w:val="00CB1EA5"/>
    <w:rsid w:val="00CB2A09"/>
    <w:rsid w:val="00CB30F5"/>
    <w:rsid w:val="00CB37E3"/>
    <w:rsid w:val="00CB3A5D"/>
    <w:rsid w:val="00CB6D5F"/>
    <w:rsid w:val="00CB7126"/>
    <w:rsid w:val="00CB7341"/>
    <w:rsid w:val="00CC1156"/>
    <w:rsid w:val="00CC1F0E"/>
    <w:rsid w:val="00CC3250"/>
    <w:rsid w:val="00CC3584"/>
    <w:rsid w:val="00CC6FDA"/>
    <w:rsid w:val="00CC7299"/>
    <w:rsid w:val="00CD12ED"/>
    <w:rsid w:val="00CD1F19"/>
    <w:rsid w:val="00CD300C"/>
    <w:rsid w:val="00CD339C"/>
    <w:rsid w:val="00CD7F81"/>
    <w:rsid w:val="00CE1D35"/>
    <w:rsid w:val="00CE4C7D"/>
    <w:rsid w:val="00CF09CF"/>
    <w:rsid w:val="00CF0DD8"/>
    <w:rsid w:val="00CF0E38"/>
    <w:rsid w:val="00CF4AE9"/>
    <w:rsid w:val="00CF6A97"/>
    <w:rsid w:val="00CF7239"/>
    <w:rsid w:val="00D008F1"/>
    <w:rsid w:val="00D0158F"/>
    <w:rsid w:val="00D03516"/>
    <w:rsid w:val="00D1024C"/>
    <w:rsid w:val="00D12361"/>
    <w:rsid w:val="00D14214"/>
    <w:rsid w:val="00D21507"/>
    <w:rsid w:val="00D220CF"/>
    <w:rsid w:val="00D22185"/>
    <w:rsid w:val="00D22693"/>
    <w:rsid w:val="00D26DC7"/>
    <w:rsid w:val="00D26F09"/>
    <w:rsid w:val="00D276A3"/>
    <w:rsid w:val="00D34B18"/>
    <w:rsid w:val="00D35A27"/>
    <w:rsid w:val="00D3630E"/>
    <w:rsid w:val="00D40372"/>
    <w:rsid w:val="00D4453E"/>
    <w:rsid w:val="00D44EEE"/>
    <w:rsid w:val="00D4544F"/>
    <w:rsid w:val="00D47B03"/>
    <w:rsid w:val="00D52F3E"/>
    <w:rsid w:val="00D53759"/>
    <w:rsid w:val="00D53EA3"/>
    <w:rsid w:val="00D5414F"/>
    <w:rsid w:val="00D55501"/>
    <w:rsid w:val="00D55D9B"/>
    <w:rsid w:val="00D623D2"/>
    <w:rsid w:val="00D639A8"/>
    <w:rsid w:val="00D64283"/>
    <w:rsid w:val="00D64A24"/>
    <w:rsid w:val="00D67215"/>
    <w:rsid w:val="00D74807"/>
    <w:rsid w:val="00D7655B"/>
    <w:rsid w:val="00D76E7F"/>
    <w:rsid w:val="00D77095"/>
    <w:rsid w:val="00D80FB0"/>
    <w:rsid w:val="00D86ACE"/>
    <w:rsid w:val="00D87CFF"/>
    <w:rsid w:val="00D9505C"/>
    <w:rsid w:val="00D958E6"/>
    <w:rsid w:val="00DA0B8B"/>
    <w:rsid w:val="00DA549D"/>
    <w:rsid w:val="00DA5FFA"/>
    <w:rsid w:val="00DB71EB"/>
    <w:rsid w:val="00DC0332"/>
    <w:rsid w:val="00DC0DB3"/>
    <w:rsid w:val="00DC13AD"/>
    <w:rsid w:val="00DC69B7"/>
    <w:rsid w:val="00DD3179"/>
    <w:rsid w:val="00DD32F1"/>
    <w:rsid w:val="00DD414F"/>
    <w:rsid w:val="00DE169A"/>
    <w:rsid w:val="00DE2DFA"/>
    <w:rsid w:val="00DF160C"/>
    <w:rsid w:val="00DF7A21"/>
    <w:rsid w:val="00E02DF5"/>
    <w:rsid w:val="00E03083"/>
    <w:rsid w:val="00E03569"/>
    <w:rsid w:val="00E0428B"/>
    <w:rsid w:val="00E04877"/>
    <w:rsid w:val="00E070E4"/>
    <w:rsid w:val="00E10316"/>
    <w:rsid w:val="00E13607"/>
    <w:rsid w:val="00E13B86"/>
    <w:rsid w:val="00E1421E"/>
    <w:rsid w:val="00E15107"/>
    <w:rsid w:val="00E21CBA"/>
    <w:rsid w:val="00E24EDE"/>
    <w:rsid w:val="00E31893"/>
    <w:rsid w:val="00E32139"/>
    <w:rsid w:val="00E3753C"/>
    <w:rsid w:val="00E4138C"/>
    <w:rsid w:val="00E4146D"/>
    <w:rsid w:val="00E41BDA"/>
    <w:rsid w:val="00E44325"/>
    <w:rsid w:val="00E452DF"/>
    <w:rsid w:val="00E46E58"/>
    <w:rsid w:val="00E53708"/>
    <w:rsid w:val="00E54CDD"/>
    <w:rsid w:val="00E57140"/>
    <w:rsid w:val="00E605AC"/>
    <w:rsid w:val="00E623E7"/>
    <w:rsid w:val="00E644A0"/>
    <w:rsid w:val="00E64E2B"/>
    <w:rsid w:val="00E66706"/>
    <w:rsid w:val="00E70677"/>
    <w:rsid w:val="00E71287"/>
    <w:rsid w:val="00E7137F"/>
    <w:rsid w:val="00E7267B"/>
    <w:rsid w:val="00E72D04"/>
    <w:rsid w:val="00E7333F"/>
    <w:rsid w:val="00E74081"/>
    <w:rsid w:val="00E921DD"/>
    <w:rsid w:val="00E94076"/>
    <w:rsid w:val="00EA3B9A"/>
    <w:rsid w:val="00EB2D8B"/>
    <w:rsid w:val="00EB4CA2"/>
    <w:rsid w:val="00EB4CD6"/>
    <w:rsid w:val="00EB5FB7"/>
    <w:rsid w:val="00EC23D7"/>
    <w:rsid w:val="00EC2634"/>
    <w:rsid w:val="00EC4E62"/>
    <w:rsid w:val="00EC6E95"/>
    <w:rsid w:val="00EC73CD"/>
    <w:rsid w:val="00ED049B"/>
    <w:rsid w:val="00ED7C7C"/>
    <w:rsid w:val="00EE3C1D"/>
    <w:rsid w:val="00EF6CE9"/>
    <w:rsid w:val="00F0365B"/>
    <w:rsid w:val="00F0405A"/>
    <w:rsid w:val="00F05BE6"/>
    <w:rsid w:val="00F06BD2"/>
    <w:rsid w:val="00F10166"/>
    <w:rsid w:val="00F105C5"/>
    <w:rsid w:val="00F14ECB"/>
    <w:rsid w:val="00F1687A"/>
    <w:rsid w:val="00F16D52"/>
    <w:rsid w:val="00F20C8B"/>
    <w:rsid w:val="00F210C2"/>
    <w:rsid w:val="00F214A7"/>
    <w:rsid w:val="00F2200C"/>
    <w:rsid w:val="00F24D11"/>
    <w:rsid w:val="00F259B3"/>
    <w:rsid w:val="00F3003C"/>
    <w:rsid w:val="00F315AF"/>
    <w:rsid w:val="00F4060E"/>
    <w:rsid w:val="00F40D31"/>
    <w:rsid w:val="00F46C7B"/>
    <w:rsid w:val="00F532D9"/>
    <w:rsid w:val="00F5349E"/>
    <w:rsid w:val="00F808C8"/>
    <w:rsid w:val="00F8416B"/>
    <w:rsid w:val="00F85A76"/>
    <w:rsid w:val="00F87592"/>
    <w:rsid w:val="00F878B2"/>
    <w:rsid w:val="00F90ABA"/>
    <w:rsid w:val="00F922CD"/>
    <w:rsid w:val="00F92A89"/>
    <w:rsid w:val="00F95F50"/>
    <w:rsid w:val="00FA0353"/>
    <w:rsid w:val="00FA4180"/>
    <w:rsid w:val="00FA65CD"/>
    <w:rsid w:val="00FB17DC"/>
    <w:rsid w:val="00FB4ACF"/>
    <w:rsid w:val="00FC7DDC"/>
    <w:rsid w:val="00FD09DF"/>
    <w:rsid w:val="00FD1F73"/>
    <w:rsid w:val="00FD2B1D"/>
    <w:rsid w:val="00FD7059"/>
    <w:rsid w:val="00FE0D8C"/>
    <w:rsid w:val="00FE4E70"/>
    <w:rsid w:val="00FE747B"/>
    <w:rsid w:val="00FE7DCD"/>
    <w:rsid w:val="00FF0D43"/>
    <w:rsid w:val="00FF2602"/>
    <w:rsid w:val="00FF67A8"/>
    <w:rsid w:val="00FF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E81A"/>
  <w15:chartTrackingRefBased/>
  <w15:docId w15:val="{73FF999B-84F1-43BC-B905-E1D3D165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D0C"/>
    <w:pPr>
      <w:widowControl w:val="0"/>
    </w:pPr>
    <w:rPr>
      <w:rFonts w:cstheme="minorHAnsi"/>
      <w:color w:val="111111"/>
      <w:shd w:val="clear" w:color="auto" w:fill="FFFFFF"/>
    </w:rPr>
  </w:style>
  <w:style w:type="paragraph" w:styleId="Heading1">
    <w:name w:val="heading 1"/>
    <w:basedOn w:val="Normal"/>
    <w:next w:val="Normal"/>
    <w:link w:val="Heading1Char"/>
    <w:uiPriority w:val="9"/>
    <w:qFormat/>
    <w:rsid w:val="007F1D0C"/>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559"/>
    <w:pPr>
      <w:keepNext/>
      <w:keepLines/>
      <w:numPr>
        <w:ilvl w:val="1"/>
        <w:numId w:val="2"/>
      </w:numPr>
      <w:spacing w:before="40" w:after="120"/>
      <w:ind w:left="578" w:hanging="578"/>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1D0C"/>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1D0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1D0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1D0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1D0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1D0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1D0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D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35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1D0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F1D0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F1D0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F1D0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F1D0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F1D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1D0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7F1D0C"/>
    <w:pPr>
      <w:ind w:left="720"/>
      <w:contextualSpacing/>
    </w:pPr>
  </w:style>
  <w:style w:type="paragraph" w:styleId="Title">
    <w:name w:val="Title"/>
    <w:basedOn w:val="Normal"/>
    <w:next w:val="Normal"/>
    <w:link w:val="TitleChar"/>
    <w:uiPriority w:val="10"/>
    <w:qFormat/>
    <w:rsid w:val="007F1D0C"/>
    <w:pPr>
      <w:spacing w:after="0" w:line="240" w:lineRule="auto"/>
      <w:contextualSpacing/>
    </w:pPr>
    <w:rPr>
      <w:rFonts w:asciiTheme="majorHAnsi" w:eastAsiaTheme="majorEastAsia" w:hAnsiTheme="majorHAnsi" w:cstheme="majorBidi"/>
      <w:color w:val="2F5496" w:themeColor="accent1" w:themeShade="BF"/>
      <w:spacing w:val="-10"/>
      <w:kern w:val="28"/>
      <w:sz w:val="44"/>
      <w:szCs w:val="56"/>
    </w:rPr>
  </w:style>
  <w:style w:type="character" w:customStyle="1" w:styleId="TitleChar">
    <w:name w:val="Title Char"/>
    <w:basedOn w:val="DefaultParagraphFont"/>
    <w:link w:val="Title"/>
    <w:uiPriority w:val="10"/>
    <w:rsid w:val="007F1D0C"/>
    <w:rPr>
      <w:rFonts w:asciiTheme="majorHAnsi" w:eastAsiaTheme="majorEastAsia" w:hAnsiTheme="majorHAnsi" w:cstheme="majorBidi"/>
      <w:color w:val="2F5496" w:themeColor="accent1" w:themeShade="BF"/>
      <w:spacing w:val="-10"/>
      <w:kern w:val="28"/>
      <w:sz w:val="44"/>
      <w:szCs w:val="56"/>
    </w:rPr>
  </w:style>
  <w:style w:type="character" w:styleId="Strong">
    <w:name w:val="Strong"/>
    <w:basedOn w:val="DefaultParagraphFont"/>
    <w:uiPriority w:val="22"/>
    <w:qFormat/>
    <w:rsid w:val="007F1D0C"/>
    <w:rPr>
      <w:b/>
      <w:bCs/>
    </w:rPr>
  </w:style>
  <w:style w:type="character" w:styleId="CommentReference">
    <w:name w:val="annotation reference"/>
    <w:basedOn w:val="DefaultParagraphFont"/>
    <w:uiPriority w:val="99"/>
    <w:semiHidden/>
    <w:unhideWhenUsed/>
    <w:rsid w:val="007F1D0C"/>
    <w:rPr>
      <w:sz w:val="16"/>
      <w:szCs w:val="16"/>
    </w:rPr>
  </w:style>
  <w:style w:type="paragraph" w:styleId="CommentText">
    <w:name w:val="annotation text"/>
    <w:basedOn w:val="Normal"/>
    <w:link w:val="CommentTextChar"/>
    <w:uiPriority w:val="99"/>
    <w:unhideWhenUsed/>
    <w:rsid w:val="007F1D0C"/>
    <w:pPr>
      <w:spacing w:line="240" w:lineRule="auto"/>
    </w:pPr>
    <w:rPr>
      <w:sz w:val="20"/>
      <w:szCs w:val="20"/>
    </w:rPr>
  </w:style>
  <w:style w:type="character" w:customStyle="1" w:styleId="CommentTextChar">
    <w:name w:val="Comment Text Char"/>
    <w:basedOn w:val="DefaultParagraphFont"/>
    <w:link w:val="CommentText"/>
    <w:uiPriority w:val="99"/>
    <w:rsid w:val="007F1D0C"/>
    <w:rPr>
      <w:rFonts w:cstheme="minorHAnsi"/>
      <w:color w:val="111111"/>
      <w:sz w:val="20"/>
      <w:szCs w:val="20"/>
    </w:rPr>
  </w:style>
  <w:style w:type="character" w:styleId="Hyperlink">
    <w:name w:val="Hyperlink"/>
    <w:basedOn w:val="DefaultParagraphFont"/>
    <w:uiPriority w:val="99"/>
    <w:unhideWhenUsed/>
    <w:rsid w:val="007F1D0C"/>
    <w:rPr>
      <w:color w:val="0563C1" w:themeColor="hyperlink"/>
      <w:u w:val="single"/>
    </w:rPr>
  </w:style>
  <w:style w:type="character" w:customStyle="1" w:styleId="UnresolvedMention1">
    <w:name w:val="Unresolved Mention1"/>
    <w:basedOn w:val="DefaultParagraphFont"/>
    <w:uiPriority w:val="99"/>
    <w:semiHidden/>
    <w:unhideWhenUsed/>
    <w:rsid w:val="007F1D0C"/>
    <w:rPr>
      <w:color w:val="605E5C"/>
      <w:shd w:val="clear" w:color="auto" w:fill="E1DFDD"/>
    </w:rPr>
  </w:style>
  <w:style w:type="paragraph" w:styleId="FootnoteText">
    <w:name w:val="footnote text"/>
    <w:basedOn w:val="Normal"/>
    <w:link w:val="FootnoteTextChar"/>
    <w:uiPriority w:val="99"/>
    <w:unhideWhenUsed/>
    <w:rsid w:val="007F1D0C"/>
    <w:pPr>
      <w:spacing w:after="0" w:afterAutospacing="1" w:line="240" w:lineRule="auto"/>
    </w:pPr>
    <w:rPr>
      <w:sz w:val="20"/>
      <w:szCs w:val="20"/>
    </w:rPr>
  </w:style>
  <w:style w:type="character" w:customStyle="1" w:styleId="FootnoteTextChar">
    <w:name w:val="Footnote Text Char"/>
    <w:basedOn w:val="DefaultParagraphFont"/>
    <w:link w:val="FootnoteText"/>
    <w:uiPriority w:val="99"/>
    <w:rsid w:val="007F1D0C"/>
    <w:rPr>
      <w:rFonts w:cstheme="minorHAnsi"/>
      <w:color w:val="111111"/>
      <w:sz w:val="20"/>
      <w:szCs w:val="20"/>
    </w:rPr>
  </w:style>
  <w:style w:type="character" w:styleId="FootnoteReference">
    <w:name w:val="footnote reference"/>
    <w:basedOn w:val="DefaultParagraphFont"/>
    <w:uiPriority w:val="99"/>
    <w:semiHidden/>
    <w:unhideWhenUsed/>
    <w:rsid w:val="007F1D0C"/>
    <w:rPr>
      <w:vertAlign w:val="superscript"/>
    </w:rPr>
  </w:style>
  <w:style w:type="character" w:customStyle="1" w:styleId="ListParagraphChar">
    <w:name w:val="List Paragraph Char"/>
    <w:basedOn w:val="DefaultParagraphFont"/>
    <w:link w:val="ListParagraph"/>
    <w:uiPriority w:val="34"/>
    <w:rsid w:val="007F1D0C"/>
    <w:rPr>
      <w:rFonts w:cstheme="minorHAnsi"/>
      <w:color w:val="111111"/>
    </w:rPr>
  </w:style>
  <w:style w:type="paragraph" w:styleId="CommentSubject">
    <w:name w:val="annotation subject"/>
    <w:basedOn w:val="CommentText"/>
    <w:next w:val="CommentText"/>
    <w:link w:val="CommentSubjectChar"/>
    <w:uiPriority w:val="99"/>
    <w:semiHidden/>
    <w:unhideWhenUsed/>
    <w:rsid w:val="007F1D0C"/>
    <w:rPr>
      <w:b/>
      <w:bCs/>
    </w:rPr>
  </w:style>
  <w:style w:type="character" w:customStyle="1" w:styleId="CommentSubjectChar">
    <w:name w:val="Comment Subject Char"/>
    <w:basedOn w:val="CommentTextChar"/>
    <w:link w:val="CommentSubject"/>
    <w:uiPriority w:val="99"/>
    <w:semiHidden/>
    <w:rsid w:val="007F1D0C"/>
    <w:rPr>
      <w:rFonts w:cstheme="minorHAnsi"/>
      <w:b/>
      <w:bCs/>
      <w:color w:val="111111"/>
      <w:sz w:val="20"/>
      <w:szCs w:val="20"/>
    </w:rPr>
  </w:style>
  <w:style w:type="paragraph" w:styleId="TOCHeading">
    <w:name w:val="TOC Heading"/>
    <w:basedOn w:val="Heading1"/>
    <w:next w:val="Normal"/>
    <w:uiPriority w:val="39"/>
    <w:unhideWhenUsed/>
    <w:qFormat/>
    <w:rsid w:val="007F1D0C"/>
    <w:pPr>
      <w:numPr>
        <w:numId w:val="0"/>
      </w:numPr>
      <w:outlineLvl w:val="9"/>
    </w:pPr>
    <w:rPr>
      <w:lang w:val="en-US"/>
    </w:rPr>
  </w:style>
  <w:style w:type="paragraph" w:styleId="TOC1">
    <w:name w:val="toc 1"/>
    <w:basedOn w:val="Normal"/>
    <w:next w:val="Normal"/>
    <w:autoRedefine/>
    <w:uiPriority w:val="39"/>
    <w:unhideWhenUsed/>
    <w:rsid w:val="007F1D0C"/>
    <w:pPr>
      <w:tabs>
        <w:tab w:val="left" w:pos="440"/>
        <w:tab w:val="right" w:leader="dot" w:pos="9016"/>
      </w:tabs>
      <w:spacing w:after="100"/>
    </w:pPr>
  </w:style>
  <w:style w:type="paragraph" w:styleId="TOC2">
    <w:name w:val="toc 2"/>
    <w:basedOn w:val="Normal"/>
    <w:next w:val="Normal"/>
    <w:autoRedefine/>
    <w:uiPriority w:val="39"/>
    <w:unhideWhenUsed/>
    <w:rsid w:val="007F1D0C"/>
    <w:pPr>
      <w:spacing w:after="100"/>
      <w:ind w:left="220"/>
    </w:pPr>
  </w:style>
  <w:style w:type="paragraph" w:styleId="NoSpacing">
    <w:name w:val="No Spacing"/>
    <w:uiPriority w:val="1"/>
    <w:qFormat/>
    <w:rsid w:val="007F1D0C"/>
    <w:pPr>
      <w:spacing w:after="0" w:line="240" w:lineRule="auto"/>
    </w:pPr>
  </w:style>
  <w:style w:type="paragraph" w:styleId="Revision">
    <w:name w:val="Revision"/>
    <w:hidden/>
    <w:uiPriority w:val="99"/>
    <w:semiHidden/>
    <w:rsid w:val="007F1D0C"/>
    <w:pPr>
      <w:spacing w:after="0" w:line="240" w:lineRule="auto"/>
    </w:pPr>
  </w:style>
  <w:style w:type="character" w:styleId="FollowedHyperlink">
    <w:name w:val="FollowedHyperlink"/>
    <w:basedOn w:val="DefaultParagraphFont"/>
    <w:uiPriority w:val="99"/>
    <w:semiHidden/>
    <w:unhideWhenUsed/>
    <w:rsid w:val="007F1D0C"/>
    <w:rPr>
      <w:color w:val="954F72" w:themeColor="followedHyperlink"/>
      <w:u w:val="single"/>
    </w:rPr>
  </w:style>
  <w:style w:type="paragraph" w:customStyle="1" w:styleId="Default">
    <w:name w:val="Default"/>
    <w:rsid w:val="007F1D0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F1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D0C"/>
    <w:rPr>
      <w:rFonts w:cstheme="minorHAnsi"/>
      <w:color w:val="111111"/>
    </w:rPr>
  </w:style>
  <w:style w:type="paragraph" w:styleId="Footer">
    <w:name w:val="footer"/>
    <w:basedOn w:val="Normal"/>
    <w:link w:val="FooterChar"/>
    <w:uiPriority w:val="99"/>
    <w:unhideWhenUsed/>
    <w:rsid w:val="007F1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D0C"/>
    <w:rPr>
      <w:rFonts w:cstheme="minorHAnsi"/>
      <w:color w:val="111111"/>
    </w:rPr>
  </w:style>
  <w:style w:type="paragraph" w:styleId="NormalWeb">
    <w:name w:val="Normal (Web)"/>
    <w:basedOn w:val="Normal"/>
    <w:uiPriority w:val="99"/>
    <w:unhideWhenUsed/>
    <w:rsid w:val="003E6C4E"/>
    <w:pPr>
      <w:widowControl/>
      <w:spacing w:before="100" w:beforeAutospacing="1" w:after="100" w:afterAutospacing="1" w:line="240" w:lineRule="auto"/>
    </w:pPr>
    <w:rPr>
      <w:rFonts w:ascii="Calibri" w:hAnsi="Calibri" w:cs="Calibri"/>
      <w:color w:val="auto"/>
      <w:shd w:val="clear" w:color="auto" w:fill="auto"/>
      <w:lang w:eastAsia="en-GB"/>
    </w:rPr>
  </w:style>
  <w:style w:type="paragraph" w:styleId="BalloonText">
    <w:name w:val="Balloon Text"/>
    <w:basedOn w:val="Normal"/>
    <w:link w:val="BalloonTextChar"/>
    <w:uiPriority w:val="99"/>
    <w:semiHidden/>
    <w:unhideWhenUsed/>
    <w:rsid w:val="00F80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C8"/>
    <w:rPr>
      <w:rFonts w:ascii="Segoe UI" w:hAnsi="Segoe UI" w:cs="Segoe UI"/>
      <w:color w:val="111111"/>
      <w:sz w:val="18"/>
      <w:szCs w:val="18"/>
    </w:rPr>
  </w:style>
  <w:style w:type="character" w:styleId="UnresolvedMention">
    <w:name w:val="Unresolved Mention"/>
    <w:basedOn w:val="DefaultParagraphFont"/>
    <w:uiPriority w:val="99"/>
    <w:semiHidden/>
    <w:unhideWhenUsed/>
    <w:rsid w:val="008463E4"/>
    <w:rPr>
      <w:color w:val="605E5C"/>
      <w:shd w:val="clear" w:color="auto" w:fill="E1DFDD"/>
    </w:rPr>
  </w:style>
  <w:style w:type="paragraph" w:customStyle="1" w:styleId="default-style">
    <w:name w:val="default-style"/>
    <w:basedOn w:val="Normal"/>
    <w:rsid w:val="009E6A77"/>
    <w:pPr>
      <w:widowControl/>
      <w:spacing w:before="100" w:beforeAutospacing="1" w:after="100" w:afterAutospacing="1" w:line="240" w:lineRule="auto"/>
    </w:pPr>
    <w:rPr>
      <w:rFonts w:ascii="Calibri" w:hAnsi="Calibri" w:cs="Calibri"/>
      <w:color w:val="auto"/>
      <w:shd w:val="clear" w:color="auto" w:fill="auto"/>
      <w:lang w:eastAsia="en-GB"/>
    </w:rPr>
  </w:style>
  <w:style w:type="table" w:styleId="TableGrid">
    <w:name w:val="Table Grid"/>
    <w:basedOn w:val="TableNormal"/>
    <w:uiPriority w:val="39"/>
    <w:rsid w:val="002A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3110">
      <w:bodyDiv w:val="1"/>
      <w:marLeft w:val="0"/>
      <w:marRight w:val="0"/>
      <w:marTop w:val="0"/>
      <w:marBottom w:val="0"/>
      <w:divBdr>
        <w:top w:val="none" w:sz="0" w:space="0" w:color="auto"/>
        <w:left w:val="none" w:sz="0" w:space="0" w:color="auto"/>
        <w:bottom w:val="none" w:sz="0" w:space="0" w:color="auto"/>
        <w:right w:val="none" w:sz="0" w:space="0" w:color="auto"/>
      </w:divBdr>
    </w:div>
    <w:div w:id="430466928">
      <w:bodyDiv w:val="1"/>
      <w:marLeft w:val="0"/>
      <w:marRight w:val="0"/>
      <w:marTop w:val="0"/>
      <w:marBottom w:val="0"/>
      <w:divBdr>
        <w:top w:val="none" w:sz="0" w:space="0" w:color="auto"/>
        <w:left w:val="none" w:sz="0" w:space="0" w:color="auto"/>
        <w:bottom w:val="none" w:sz="0" w:space="0" w:color="auto"/>
        <w:right w:val="none" w:sz="0" w:space="0" w:color="auto"/>
      </w:divBdr>
    </w:div>
    <w:div w:id="462383700">
      <w:bodyDiv w:val="1"/>
      <w:marLeft w:val="0"/>
      <w:marRight w:val="0"/>
      <w:marTop w:val="0"/>
      <w:marBottom w:val="0"/>
      <w:divBdr>
        <w:top w:val="none" w:sz="0" w:space="0" w:color="auto"/>
        <w:left w:val="none" w:sz="0" w:space="0" w:color="auto"/>
        <w:bottom w:val="none" w:sz="0" w:space="0" w:color="auto"/>
        <w:right w:val="none" w:sz="0" w:space="0" w:color="auto"/>
      </w:divBdr>
    </w:div>
    <w:div w:id="613101817">
      <w:bodyDiv w:val="1"/>
      <w:marLeft w:val="0"/>
      <w:marRight w:val="0"/>
      <w:marTop w:val="0"/>
      <w:marBottom w:val="0"/>
      <w:divBdr>
        <w:top w:val="none" w:sz="0" w:space="0" w:color="auto"/>
        <w:left w:val="none" w:sz="0" w:space="0" w:color="auto"/>
        <w:bottom w:val="none" w:sz="0" w:space="0" w:color="auto"/>
        <w:right w:val="none" w:sz="0" w:space="0" w:color="auto"/>
      </w:divBdr>
    </w:div>
    <w:div w:id="670644952">
      <w:bodyDiv w:val="1"/>
      <w:marLeft w:val="0"/>
      <w:marRight w:val="0"/>
      <w:marTop w:val="0"/>
      <w:marBottom w:val="0"/>
      <w:divBdr>
        <w:top w:val="none" w:sz="0" w:space="0" w:color="auto"/>
        <w:left w:val="none" w:sz="0" w:space="0" w:color="auto"/>
        <w:bottom w:val="none" w:sz="0" w:space="0" w:color="auto"/>
        <w:right w:val="none" w:sz="0" w:space="0" w:color="auto"/>
      </w:divBdr>
    </w:div>
    <w:div w:id="681666512">
      <w:bodyDiv w:val="1"/>
      <w:marLeft w:val="0"/>
      <w:marRight w:val="0"/>
      <w:marTop w:val="0"/>
      <w:marBottom w:val="0"/>
      <w:divBdr>
        <w:top w:val="none" w:sz="0" w:space="0" w:color="auto"/>
        <w:left w:val="none" w:sz="0" w:space="0" w:color="auto"/>
        <w:bottom w:val="none" w:sz="0" w:space="0" w:color="auto"/>
        <w:right w:val="none" w:sz="0" w:space="0" w:color="auto"/>
      </w:divBdr>
    </w:div>
    <w:div w:id="787510084">
      <w:bodyDiv w:val="1"/>
      <w:marLeft w:val="0"/>
      <w:marRight w:val="0"/>
      <w:marTop w:val="0"/>
      <w:marBottom w:val="0"/>
      <w:divBdr>
        <w:top w:val="none" w:sz="0" w:space="0" w:color="auto"/>
        <w:left w:val="none" w:sz="0" w:space="0" w:color="auto"/>
        <w:bottom w:val="none" w:sz="0" w:space="0" w:color="auto"/>
        <w:right w:val="none" w:sz="0" w:space="0" w:color="auto"/>
      </w:divBdr>
    </w:div>
    <w:div w:id="796992150">
      <w:bodyDiv w:val="1"/>
      <w:marLeft w:val="0"/>
      <w:marRight w:val="0"/>
      <w:marTop w:val="0"/>
      <w:marBottom w:val="0"/>
      <w:divBdr>
        <w:top w:val="none" w:sz="0" w:space="0" w:color="auto"/>
        <w:left w:val="none" w:sz="0" w:space="0" w:color="auto"/>
        <w:bottom w:val="none" w:sz="0" w:space="0" w:color="auto"/>
        <w:right w:val="none" w:sz="0" w:space="0" w:color="auto"/>
      </w:divBdr>
    </w:div>
    <w:div w:id="1466242679">
      <w:bodyDiv w:val="1"/>
      <w:marLeft w:val="0"/>
      <w:marRight w:val="0"/>
      <w:marTop w:val="0"/>
      <w:marBottom w:val="0"/>
      <w:divBdr>
        <w:top w:val="none" w:sz="0" w:space="0" w:color="auto"/>
        <w:left w:val="none" w:sz="0" w:space="0" w:color="auto"/>
        <w:bottom w:val="none" w:sz="0" w:space="0" w:color="auto"/>
        <w:right w:val="none" w:sz="0" w:space="0" w:color="auto"/>
      </w:divBdr>
    </w:div>
    <w:div w:id="15193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stry.gov.scot/forestry-business/economic-contribution-of-forestry" TargetMode="External"/><Relationship Id="rId13" Type="http://schemas.openxmlformats.org/officeDocument/2006/relationships/hyperlink" Target="http://sup.org.uk/public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tors.sepa.org.uk/media/1180/forestry_and_wood_sector-plan_feb_2020-v6edit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estry.gov.scot/publications/817-stakeholder-engagement-to-inform-development-of-a-regional-woodland-creation-framework-scottish-borders-pilot-areas-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orestry.gov.scot/publications/forests-and-the-environment/historic-environment/73-managing-the-historic-environment-case-study" TargetMode="External"/><Relationship Id="rId4" Type="http://schemas.openxmlformats.org/officeDocument/2006/relationships/settings" Target="settings.xml"/><Relationship Id="rId9" Type="http://schemas.openxmlformats.org/officeDocument/2006/relationships/hyperlink" Target="https://www.confor.org.uk/media/2678154/ukfs-consultation-response-aug-21.pdf" TargetMode="External"/><Relationship Id="rId14" Type="http://schemas.openxmlformats.org/officeDocument/2006/relationships/hyperlink" Target="http://www.forestpolicygroup.org/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2297-B2D6-43A5-A23E-8A95D553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8072</Words>
  <Characters>46014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McDonnell</dc:creator>
  <cp:keywords/>
  <dc:description/>
  <cp:lastModifiedBy>Alan McDonnell</cp:lastModifiedBy>
  <cp:revision>6</cp:revision>
  <dcterms:created xsi:type="dcterms:W3CDTF">2022-04-06T12:39:00Z</dcterms:created>
  <dcterms:modified xsi:type="dcterms:W3CDTF">2022-04-20T15:58:00Z</dcterms:modified>
</cp:coreProperties>
</file>